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rPr>
          <w:color w:val="000000" w:themeColor="text1"/>
          <w14:textFill>
            <w14:solidFill>
              <w14:schemeClr w14:val="tx1"/>
            </w14:solidFill>
          </w14:textFill>
        </w:rPr>
      </w:pPr>
    </w:p>
    <w:p>
      <w:pPr>
        <w:pStyle w:val="19"/>
        <w:ind w:firstLine="0" w:firstLineChars="0"/>
        <w:jc w:val="center"/>
        <w:rPr>
          <w:b/>
          <w:bCs/>
          <w:color w:val="000000" w:themeColor="text1"/>
          <w:sz w:val="52"/>
          <w:szCs w:val="52"/>
          <w14:textFill>
            <w14:solidFill>
              <w14:schemeClr w14:val="tx1"/>
            </w14:solidFill>
          </w14:textFill>
        </w:rPr>
      </w:pPr>
    </w:p>
    <w:p>
      <w:pPr>
        <w:pStyle w:val="19"/>
        <w:ind w:firstLine="0" w:firstLineChars="0"/>
        <w:jc w:val="center"/>
        <w:rPr>
          <w:b/>
          <w:bCs/>
          <w:color w:val="000000" w:themeColor="text1"/>
          <w:sz w:val="52"/>
          <w:szCs w:val="52"/>
          <w14:textFill>
            <w14:solidFill>
              <w14:schemeClr w14:val="tx1"/>
            </w14:solidFill>
          </w14:textFill>
        </w:rPr>
      </w:pPr>
    </w:p>
    <w:p>
      <w:pPr>
        <w:pStyle w:val="19"/>
        <w:ind w:firstLine="0" w:firstLineChars="0"/>
        <w:jc w:val="center"/>
        <w:rPr>
          <w:b/>
          <w:bCs/>
          <w:color w:val="000000" w:themeColor="text1"/>
          <w:sz w:val="52"/>
          <w:szCs w:val="52"/>
          <w14:textFill>
            <w14:solidFill>
              <w14:schemeClr w14:val="tx1"/>
            </w14:solidFill>
          </w14:textFill>
        </w:rPr>
      </w:pPr>
      <w:bookmarkStart w:id="18" w:name="_GoBack"/>
      <w:bookmarkEnd w:id="18"/>
    </w:p>
    <w:p>
      <w:pPr>
        <w:pStyle w:val="19"/>
        <w:ind w:firstLine="0" w:firstLineChars="0"/>
        <w:jc w:val="center"/>
        <w:rPr>
          <w:b/>
          <w:bCs/>
          <w:color w:val="000000" w:themeColor="text1"/>
          <w:sz w:val="36"/>
          <w:szCs w:val="44"/>
          <w14:textFill>
            <w14:solidFill>
              <w14:schemeClr w14:val="tx1"/>
            </w14:solidFill>
          </w14:textFill>
        </w:rPr>
      </w:pPr>
      <w:r>
        <w:rPr>
          <w:rFonts w:hint="eastAsia"/>
          <w:b/>
          <w:bCs/>
          <w:color w:val="000000" w:themeColor="text1"/>
          <w:sz w:val="52"/>
          <w:szCs w:val="52"/>
          <w14:textFill>
            <w14:solidFill>
              <w14:schemeClr w14:val="tx1"/>
            </w14:solidFill>
          </w14:textFill>
        </w:rPr>
        <w:t>浙江广厦建设职业技术大学</w:t>
      </w:r>
    </w:p>
    <w:p>
      <w:pPr>
        <w:rPr>
          <w:rFonts w:hint="eastAsia"/>
        </w:rPr>
      </w:pPr>
    </w:p>
    <w:p>
      <w:pPr>
        <w:pStyle w:val="19"/>
        <w:ind w:firstLine="0" w:firstLineChars="0"/>
        <w:jc w:val="center"/>
        <w:rPr>
          <w:b/>
          <w:bCs/>
          <w:color w:val="000000" w:themeColor="text1"/>
          <w:sz w:val="36"/>
          <w:szCs w:val="44"/>
          <w14:textFill>
            <w14:solidFill>
              <w14:schemeClr w14:val="tx1"/>
            </w14:solidFill>
          </w14:textFill>
        </w:rPr>
      </w:pPr>
      <w:r>
        <w:rPr>
          <w:rFonts w:hint="eastAsia"/>
          <w:b/>
          <w:bCs/>
          <w:color w:val="000000" w:themeColor="text1"/>
          <w:sz w:val="52"/>
          <w:szCs w:val="52"/>
          <w14:textFill>
            <w14:solidFill>
              <w14:schemeClr w14:val="tx1"/>
            </w14:solidFill>
          </w14:textFill>
        </w:rPr>
        <w:t>移动式垃圾压缩机</w:t>
      </w:r>
    </w:p>
    <w:p>
      <w:pPr>
        <w:pStyle w:val="16"/>
        <w:rPr>
          <w:color w:val="000000" w:themeColor="text1"/>
          <w14:textFill>
            <w14:solidFill>
              <w14:schemeClr w14:val="tx1"/>
            </w14:solidFill>
          </w14:textFill>
        </w:rPr>
      </w:pPr>
    </w:p>
    <w:p>
      <w:pPr>
        <w:pStyle w:val="16"/>
        <w:rPr>
          <w:color w:val="000000" w:themeColor="text1"/>
          <w14:textFill>
            <w14:solidFill>
              <w14:schemeClr w14:val="tx1"/>
            </w14:solidFill>
          </w14:textFill>
        </w:rPr>
      </w:pPr>
    </w:p>
    <w:p>
      <w:pPr>
        <w:spacing w:before="156"/>
        <w:jc w:val="center"/>
        <w:rPr>
          <w:rFonts w:ascii="宋体" w:hAnsi="宋体" w:cs="宋体"/>
          <w:b/>
          <w:color w:val="000000" w:themeColor="text1"/>
          <w:sz w:val="72"/>
          <w:szCs w:val="72"/>
          <w14:textFill>
            <w14:solidFill>
              <w14:schemeClr w14:val="tx1"/>
            </w14:solidFill>
          </w14:textFill>
        </w:rPr>
      </w:pPr>
      <w:r>
        <w:rPr>
          <w:rFonts w:hint="eastAsia" w:ascii="宋体" w:hAnsi="宋体" w:cs="宋体"/>
          <w:b/>
          <w:color w:val="000000" w:themeColor="text1"/>
          <w:sz w:val="72"/>
          <w:szCs w:val="72"/>
          <w:lang w:eastAsia="zh-CN"/>
          <w14:textFill>
            <w14:solidFill>
              <w14:schemeClr w14:val="tx1"/>
            </w14:solidFill>
          </w14:textFill>
        </w:rPr>
        <w:t>竞争性谈判采购</w:t>
      </w:r>
      <w:r>
        <w:rPr>
          <w:rFonts w:ascii="宋体" w:hAnsi="宋体" w:cs="宋体"/>
          <w:b/>
          <w:color w:val="000000" w:themeColor="text1"/>
          <w:sz w:val="72"/>
          <w:szCs w:val="72"/>
          <w14:textFill>
            <w14:solidFill>
              <w14:schemeClr w14:val="tx1"/>
            </w14:solidFill>
          </w14:textFill>
        </w:rPr>
        <w:t>文件</w:t>
      </w:r>
    </w:p>
    <w:p>
      <w:pPr>
        <w:pStyle w:val="16"/>
        <w:rPr>
          <w:color w:val="000000" w:themeColor="text1"/>
          <w14:textFill>
            <w14:solidFill>
              <w14:schemeClr w14:val="tx1"/>
            </w14:solidFill>
          </w14:textFill>
        </w:rPr>
      </w:pPr>
    </w:p>
    <w:p>
      <w:pPr>
        <w:pStyle w:val="16"/>
        <w:ind w:left="0"/>
        <w:rPr>
          <w:color w:val="000000" w:themeColor="text1"/>
          <w14:textFill>
            <w14:solidFill>
              <w14:schemeClr w14:val="tx1"/>
            </w14:solidFill>
          </w14:textFill>
        </w:rPr>
      </w:pPr>
    </w:p>
    <w:p>
      <w:pPr>
        <w:pStyle w:val="16"/>
        <w:rPr>
          <w:color w:val="000000" w:themeColor="text1"/>
          <w14:textFill>
            <w14:solidFill>
              <w14:schemeClr w14:val="tx1"/>
            </w14:solidFill>
          </w14:textFill>
        </w:rPr>
      </w:pPr>
    </w:p>
    <w:p>
      <w:pPr>
        <w:pStyle w:val="35"/>
        <w:ind w:left="0" w:firstLine="0"/>
        <w:rPr>
          <w:color w:val="000000" w:themeColor="text1"/>
          <w14:textFill>
            <w14:solidFill>
              <w14:schemeClr w14:val="tx1"/>
            </w14:solidFill>
          </w14:textFill>
        </w:rPr>
      </w:pPr>
    </w:p>
    <w:p>
      <w:pPr>
        <w:pStyle w:val="35"/>
        <w:ind w:left="0" w:firstLine="0"/>
        <w:rPr>
          <w:color w:val="000000" w:themeColor="text1"/>
          <w14:textFill>
            <w14:solidFill>
              <w14:schemeClr w14:val="tx1"/>
            </w14:solidFill>
          </w14:textFill>
        </w:rPr>
      </w:pPr>
    </w:p>
    <w:p>
      <w:pPr>
        <w:pStyle w:val="35"/>
        <w:ind w:left="0" w:firstLine="0"/>
        <w:rPr>
          <w:color w:val="000000" w:themeColor="text1"/>
          <w14:textFill>
            <w14:solidFill>
              <w14:schemeClr w14:val="tx1"/>
            </w14:solidFill>
          </w14:textFill>
        </w:rPr>
      </w:pPr>
    </w:p>
    <w:p>
      <w:pPr>
        <w:pStyle w:val="44"/>
        <w:snapToGrid w:val="0"/>
        <w:spacing w:before="50" w:line="560" w:lineRule="exact"/>
        <w:ind w:firstLine="602" w:firstLineChars="200"/>
        <w:rPr>
          <w:rFonts w:cs="宋体"/>
          <w:b/>
          <w:bCs/>
          <w:color w:val="000000" w:themeColor="text1"/>
          <w:sz w:val="30"/>
          <w:szCs w:val="30"/>
          <w14:textFill>
            <w14:solidFill>
              <w14:schemeClr w14:val="tx1"/>
            </w14:solidFill>
          </w14:textFill>
        </w:rPr>
      </w:pPr>
      <w:r>
        <w:rPr>
          <w:rFonts w:cs="宋体"/>
          <w:b/>
          <w:bCs/>
          <w:color w:val="000000" w:themeColor="text1"/>
          <w:sz w:val="30"/>
          <w:szCs w:val="30"/>
          <w14:textFill>
            <w14:solidFill>
              <w14:schemeClr w14:val="tx1"/>
            </w14:solidFill>
          </w14:textFill>
        </w:rPr>
        <w:t>项目编号：</w:t>
      </w:r>
      <w:r>
        <w:rPr>
          <w:rFonts w:hint="eastAsia" w:cs="宋体"/>
          <w:b/>
          <w:bCs/>
          <w:color w:val="000000" w:themeColor="text1"/>
          <w:sz w:val="30"/>
          <w:szCs w:val="30"/>
          <w14:textFill>
            <w14:solidFill>
              <w14:schemeClr w14:val="tx1"/>
            </w14:solidFill>
          </w14:textFill>
        </w:rPr>
        <w:t>ZJGS2021-C014</w:t>
      </w:r>
    </w:p>
    <w:p>
      <w:pPr>
        <w:pStyle w:val="44"/>
        <w:snapToGrid w:val="0"/>
        <w:spacing w:before="50" w:line="560" w:lineRule="exact"/>
        <w:ind w:left="2107" w:leftChars="286" w:hanging="1506" w:hangingChars="500"/>
        <w:rPr>
          <w:rFonts w:cs="宋体"/>
          <w:b/>
          <w:bCs/>
          <w:color w:val="000000" w:themeColor="text1"/>
          <w:sz w:val="30"/>
          <w:szCs w:val="30"/>
          <w14:textFill>
            <w14:solidFill>
              <w14:schemeClr w14:val="tx1"/>
            </w14:solidFill>
          </w14:textFill>
        </w:rPr>
      </w:pPr>
      <w:r>
        <w:rPr>
          <w:rFonts w:cs="宋体"/>
          <w:b/>
          <w:bCs/>
          <w:color w:val="000000" w:themeColor="text1"/>
          <w:sz w:val="30"/>
          <w:szCs w:val="30"/>
          <w14:textFill>
            <w14:solidFill>
              <w14:schemeClr w14:val="tx1"/>
            </w14:solidFill>
          </w14:textFill>
        </w:rPr>
        <w:t>项目名称：</w:t>
      </w:r>
      <w:r>
        <w:rPr>
          <w:rFonts w:hint="eastAsia" w:cs="宋体"/>
          <w:b/>
          <w:bCs/>
          <w:color w:val="000000" w:themeColor="text1"/>
          <w:sz w:val="30"/>
          <w:szCs w:val="30"/>
          <w14:textFill>
            <w14:solidFill>
              <w14:schemeClr w14:val="tx1"/>
            </w14:solidFill>
          </w14:textFill>
        </w:rPr>
        <w:t>浙江广厦建设职业技术大学移动式垃圾压缩机</w:t>
      </w:r>
    </w:p>
    <w:p>
      <w:pPr>
        <w:pStyle w:val="44"/>
        <w:snapToGrid w:val="0"/>
        <w:spacing w:before="50" w:line="560" w:lineRule="exact"/>
        <w:ind w:firstLine="602" w:firstLineChars="200"/>
        <w:rPr>
          <w:rFonts w:cs="宋体"/>
          <w:b/>
          <w:bCs/>
          <w:color w:val="000000" w:themeColor="text1"/>
          <w:sz w:val="30"/>
          <w:szCs w:val="30"/>
          <w14:textFill>
            <w14:solidFill>
              <w14:schemeClr w14:val="tx1"/>
            </w14:solidFill>
          </w14:textFill>
        </w:rPr>
      </w:pPr>
      <w:r>
        <w:rPr>
          <w:rFonts w:cs="宋体"/>
          <w:b/>
          <w:bCs/>
          <w:color w:val="000000" w:themeColor="text1"/>
          <w:sz w:val="30"/>
          <w:szCs w:val="30"/>
          <w14:textFill>
            <w14:solidFill>
              <w14:schemeClr w14:val="tx1"/>
            </w14:solidFill>
          </w14:textFill>
        </w:rPr>
        <w:t>采购单位：浙江广厦建设职业技术大学</w:t>
      </w:r>
    </w:p>
    <w:p>
      <w:pPr>
        <w:pStyle w:val="44"/>
        <w:snapToGrid w:val="0"/>
        <w:spacing w:before="50" w:line="560" w:lineRule="exact"/>
        <w:jc w:val="center"/>
        <w:rPr>
          <w:rFonts w:cs="宋体"/>
          <w:b/>
          <w:bCs/>
          <w:color w:val="000000" w:themeColor="text1"/>
          <w:sz w:val="30"/>
          <w:szCs w:val="30"/>
          <w14:textFill>
            <w14:solidFill>
              <w14:schemeClr w14:val="tx1"/>
            </w14:solidFill>
          </w14:textFill>
        </w:rPr>
      </w:pPr>
    </w:p>
    <w:p>
      <w:pPr>
        <w:pStyle w:val="44"/>
        <w:snapToGrid w:val="0"/>
        <w:spacing w:before="50" w:line="560" w:lineRule="exact"/>
        <w:jc w:val="center"/>
        <w:rPr>
          <w:rFonts w:cs="宋体"/>
          <w:b/>
          <w:bCs/>
          <w:color w:val="000000" w:themeColor="text1"/>
          <w:sz w:val="30"/>
          <w:szCs w:val="30"/>
          <w14:textFill>
            <w14:solidFill>
              <w14:schemeClr w14:val="tx1"/>
            </w14:solidFill>
          </w14:textFill>
        </w:rPr>
      </w:pPr>
      <w:r>
        <w:rPr>
          <w:rFonts w:cs="宋体"/>
          <w:b/>
          <w:bCs/>
          <w:color w:val="000000" w:themeColor="text1"/>
          <w:sz w:val="30"/>
          <w:szCs w:val="30"/>
          <w14:textFill>
            <w14:solidFill>
              <w14:schemeClr w14:val="tx1"/>
            </w14:solidFill>
          </w14:textFill>
        </w:rPr>
        <w:t>2021年</w:t>
      </w:r>
      <w:r>
        <w:rPr>
          <w:rFonts w:hint="eastAsia" w:cs="宋体"/>
          <w:b/>
          <w:bCs/>
          <w:color w:val="000000" w:themeColor="text1"/>
          <w:sz w:val="30"/>
          <w:szCs w:val="30"/>
          <w14:textFill>
            <w14:solidFill>
              <w14:schemeClr w14:val="tx1"/>
            </w14:solidFill>
          </w14:textFill>
        </w:rPr>
        <w:t>9月25日</w:t>
      </w:r>
      <w:r>
        <w:rPr>
          <w:color w:val="000000" w:themeColor="text1"/>
          <w14:textFill>
            <w14:solidFill>
              <w14:schemeClr w14:val="tx1"/>
            </w14:solidFill>
          </w14:textFill>
        </w:rPr>
        <w:br w:type="page"/>
      </w:r>
    </w:p>
    <w:p>
      <w:pPr>
        <w:pStyle w:val="44"/>
        <w:snapToGrid w:val="0"/>
        <w:spacing w:line="360" w:lineRule="auto"/>
        <w:jc w:val="center"/>
        <w:rPr>
          <w:rFonts w:ascii="黑体" w:hAnsi="黑体" w:eastAsia="黑体" w:cs="宋体"/>
          <w:color w:val="000000" w:themeColor="text1"/>
          <w:sz w:val="44"/>
          <w:szCs w:val="48"/>
          <w:highlight w:val="red"/>
          <w14:textFill>
            <w14:solidFill>
              <w14:schemeClr w14:val="tx1"/>
            </w14:solidFill>
          </w14:textFill>
        </w:rPr>
      </w:pPr>
      <w:r>
        <w:rPr>
          <w:rFonts w:ascii="黑体" w:hAnsi="黑体" w:eastAsia="黑体" w:cs="宋体"/>
          <w:color w:val="000000" w:themeColor="text1"/>
          <w:sz w:val="44"/>
          <w:szCs w:val="48"/>
          <w14:textFill>
            <w14:solidFill>
              <w14:schemeClr w14:val="tx1"/>
            </w14:solidFill>
          </w14:textFill>
        </w:rPr>
        <w:t>目录</w:t>
      </w:r>
    </w:p>
    <w:p>
      <w:pPr>
        <w:pStyle w:val="14"/>
        <w:tabs>
          <w:tab w:val="right" w:leader="dot" w:pos="907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TOC \o "1-2" \h \z \u</w:instrText>
      </w:r>
      <w:r>
        <w:rPr>
          <w:color w:val="000000" w:themeColor="text1"/>
          <w14:textFill>
            <w14:solidFill>
              <w14:schemeClr w14:val="tx1"/>
            </w14:solidFill>
          </w14:textFill>
        </w:rPr>
        <w:fldChar w:fldCharType="separate"/>
      </w:r>
    </w:p>
    <w:p>
      <w:pPr>
        <w:pStyle w:val="14"/>
        <w:tabs>
          <w:tab w:val="right" w:leader="dot" w:pos="9070"/>
        </w:tabs>
        <w:rPr>
          <w:color w:val="000000" w:themeColor="text1"/>
          <w14:textFill>
            <w14:solidFill>
              <w14:schemeClr w14:val="tx1"/>
            </w14:solidFill>
          </w14:textFill>
        </w:rPr>
      </w:pPr>
      <w:r>
        <w:fldChar w:fldCharType="begin"/>
      </w:r>
      <w:r>
        <w:instrText xml:space="preserve"> HYPERLINK \l "_Toc15458" </w:instrText>
      </w:r>
      <w:r>
        <w:fldChar w:fldCharType="separate"/>
      </w:r>
      <w:r>
        <w:rPr>
          <w:color w:val="000000" w:themeColor="text1"/>
          <w14:textFill>
            <w14:solidFill>
              <w14:schemeClr w14:val="tx1"/>
            </w14:solidFill>
          </w14:textFill>
        </w:rPr>
        <w:t xml:space="preserve">第一章  </w:t>
      </w:r>
      <w:r>
        <w:rPr>
          <w:rFonts w:hint="eastAsia" w:hAnsi="宋体"/>
          <w:bCs/>
          <w:szCs w:val="36"/>
        </w:rPr>
        <w:t>竞争性谈判公</w:t>
      </w:r>
      <w:r>
        <w:rPr>
          <w:rFonts w:hint="eastAsia" w:ascii="宋体" w:hAnsi="宋体" w:cs="宋体"/>
        </w:rPr>
        <w:t>告</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_Toc15458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4"/>
        <w:tabs>
          <w:tab w:val="right" w:leader="dot" w:pos="9070"/>
        </w:tabs>
        <w:rPr>
          <w:color w:val="000000" w:themeColor="text1"/>
          <w14:textFill>
            <w14:solidFill>
              <w14:schemeClr w14:val="tx1"/>
            </w14:solidFill>
          </w14:textFill>
        </w:rPr>
      </w:pPr>
      <w:r>
        <w:fldChar w:fldCharType="begin"/>
      </w:r>
      <w:r>
        <w:instrText xml:space="preserve"> HYPERLINK \l "_Toc31368" </w:instrText>
      </w:r>
      <w:r>
        <w:fldChar w:fldCharType="separate"/>
      </w:r>
      <w:r>
        <w:rPr>
          <w:rFonts w:ascii="黑体" w:hAnsi="黑体" w:eastAsia="黑体"/>
          <w:color w:val="000000" w:themeColor="text1"/>
          <w:szCs w:val="30"/>
          <w14:textFill>
            <w14:solidFill>
              <w14:schemeClr w14:val="tx1"/>
            </w14:solidFill>
          </w14:textFill>
        </w:rPr>
        <w:t xml:space="preserve">第二章  </w:t>
      </w:r>
      <w:r>
        <w:rPr>
          <w:rFonts w:hint="eastAsia" w:ascii="宋体" w:hAnsi="宋体" w:cs="宋体"/>
        </w:rPr>
        <w:t>采购项目需求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_Toc31368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4"/>
        <w:tabs>
          <w:tab w:val="right" w:leader="dot" w:pos="9070"/>
        </w:tabs>
        <w:rPr>
          <w:color w:val="000000" w:themeColor="text1"/>
          <w14:textFill>
            <w14:solidFill>
              <w14:schemeClr w14:val="tx1"/>
            </w14:solidFill>
          </w14:textFill>
        </w:rPr>
      </w:pPr>
      <w:r>
        <w:fldChar w:fldCharType="begin"/>
      </w:r>
      <w:r>
        <w:instrText xml:space="preserve"> HYPERLINK \l "_Toc28550" </w:instrText>
      </w:r>
      <w:r>
        <w:fldChar w:fldCharType="separate"/>
      </w:r>
      <w:r>
        <w:rPr>
          <w:rFonts w:ascii="黑体" w:hAnsi="黑体" w:eastAsia="黑体"/>
          <w:color w:val="000000" w:themeColor="text1"/>
          <w:szCs w:val="30"/>
          <w14:textFill>
            <w14:solidFill>
              <w14:schemeClr w14:val="tx1"/>
            </w14:solidFill>
          </w14:textFill>
        </w:rPr>
        <w:t xml:space="preserve">第三章  </w:t>
      </w:r>
      <w:r>
        <w:rPr>
          <w:rFonts w:hint="eastAsia" w:hAnsi="宋体"/>
          <w:bCs/>
          <w:szCs w:val="36"/>
        </w:rPr>
        <w:t>竞争性谈判</w:t>
      </w:r>
      <w:r>
        <w:rPr>
          <w:rFonts w:hint="eastAsia" w:ascii="宋体" w:hAnsi="宋体" w:cs="宋体"/>
        </w:rPr>
        <w:t>须知</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9</w:t>
      </w:r>
      <w:r>
        <w:rPr>
          <w:rFonts w:hint="eastAsia"/>
          <w:color w:val="000000" w:themeColor="text1"/>
          <w14:textFill>
            <w14:solidFill>
              <w14:schemeClr w14:val="tx1"/>
            </w14:solidFill>
          </w14:textFill>
        </w:rPr>
        <w:fldChar w:fldCharType="end"/>
      </w:r>
    </w:p>
    <w:p>
      <w:pPr>
        <w:pStyle w:val="14"/>
        <w:tabs>
          <w:tab w:val="right" w:leader="dot" w:pos="9070"/>
        </w:tabs>
        <w:rPr>
          <w:color w:val="000000" w:themeColor="text1"/>
          <w14:textFill>
            <w14:solidFill>
              <w14:schemeClr w14:val="tx1"/>
            </w14:solidFill>
          </w14:textFill>
        </w:rPr>
      </w:pPr>
      <w:r>
        <w:fldChar w:fldCharType="begin"/>
      </w:r>
      <w:r>
        <w:instrText xml:space="preserve"> HYPERLINK \l "_Toc12269" </w:instrText>
      </w:r>
      <w:r>
        <w:fldChar w:fldCharType="separate"/>
      </w:r>
      <w:r>
        <w:rPr>
          <w:rFonts w:ascii="黑体" w:hAnsi="黑体" w:eastAsia="黑体"/>
          <w:color w:val="000000" w:themeColor="text1"/>
          <w:szCs w:val="30"/>
          <w14:textFill>
            <w14:solidFill>
              <w14:schemeClr w14:val="tx1"/>
            </w14:solidFill>
          </w14:textFill>
        </w:rPr>
        <w:t xml:space="preserve">第四章  </w:t>
      </w:r>
      <w:r>
        <w:rPr>
          <w:rFonts w:hint="eastAsia" w:hAnsi="宋体"/>
          <w:bCs/>
          <w:szCs w:val="36"/>
        </w:rPr>
        <w:t>竞争性谈判条款</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1</w:t>
      </w:r>
    </w:p>
    <w:p>
      <w:pPr>
        <w:pStyle w:val="14"/>
        <w:tabs>
          <w:tab w:val="right" w:leader="dot" w:pos="9070"/>
        </w:tabs>
      </w:pPr>
      <w:r>
        <w:fldChar w:fldCharType="begin"/>
      </w:r>
      <w:r>
        <w:instrText xml:space="preserve"> HYPERLINK \l "_Toc12269" </w:instrText>
      </w:r>
      <w:r>
        <w:fldChar w:fldCharType="separate"/>
      </w:r>
      <w:r>
        <w:rPr>
          <w:rFonts w:ascii="黑体" w:hAnsi="黑体" w:eastAsia="黑体"/>
          <w:color w:val="000000" w:themeColor="text1"/>
          <w:szCs w:val="30"/>
          <w14:textFill>
            <w14:solidFill>
              <w14:schemeClr w14:val="tx1"/>
            </w14:solidFill>
          </w14:textFill>
        </w:rPr>
        <w:t>第</w:t>
      </w:r>
      <w:r>
        <w:rPr>
          <w:rFonts w:hint="eastAsia" w:ascii="黑体" w:hAnsi="黑体" w:eastAsia="黑体"/>
          <w:color w:val="000000" w:themeColor="text1"/>
          <w:szCs w:val="30"/>
          <w14:textFill>
            <w14:solidFill>
              <w14:schemeClr w14:val="tx1"/>
            </w14:solidFill>
          </w14:textFill>
        </w:rPr>
        <w:t>五</w:t>
      </w:r>
      <w:r>
        <w:rPr>
          <w:rFonts w:ascii="黑体" w:hAnsi="黑体" w:eastAsia="黑体"/>
          <w:color w:val="000000" w:themeColor="text1"/>
          <w:szCs w:val="30"/>
          <w14:textFill>
            <w14:solidFill>
              <w14:schemeClr w14:val="tx1"/>
            </w14:solidFill>
          </w14:textFill>
        </w:rPr>
        <w:t xml:space="preserve">章  </w:t>
      </w:r>
      <w:r>
        <w:rPr>
          <w:rFonts w:hint="eastAsia" w:hAnsi="宋体" w:eastAsia="黑体"/>
          <w:bCs/>
          <w:szCs w:val="36"/>
        </w:rPr>
        <w:t>谈</w:t>
      </w:r>
      <w:r>
        <w:rPr>
          <w:rFonts w:hint="eastAsia" w:ascii="宋体" w:hAnsi="宋体"/>
          <w:bCs/>
          <w:szCs w:val="36"/>
        </w:rPr>
        <w:t>判方法和程序</w:t>
      </w:r>
      <w:r>
        <w:rPr>
          <w:rFonts w:ascii="宋体" w:hAnsi="宋体"/>
          <w:color w:val="000000" w:themeColor="text1"/>
          <w14:textFill>
            <w14:solidFill>
              <w14:schemeClr w14:val="tx1"/>
            </w14:solidFill>
          </w14:textFill>
        </w:rPr>
        <w:tab/>
      </w:r>
      <w:r>
        <w:rPr>
          <w:rFonts w:hint="eastAsia"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4</w:t>
      </w:r>
    </w:p>
    <w:p>
      <w:pPr>
        <w:pStyle w:val="14"/>
        <w:tabs>
          <w:tab w:val="right" w:leader="dot" w:pos="9070"/>
        </w:tabs>
        <w:rPr>
          <w:color w:val="000000" w:themeColor="text1"/>
          <w14:textFill>
            <w14:solidFill>
              <w14:schemeClr w14:val="tx1"/>
            </w14:solidFill>
          </w14:textFill>
        </w:rPr>
      </w:pPr>
      <w:r>
        <w:fldChar w:fldCharType="begin"/>
      </w:r>
      <w:r>
        <w:instrText xml:space="preserve"> HYPERLINK \l "_Toc18309" </w:instrText>
      </w:r>
      <w:r>
        <w:fldChar w:fldCharType="separate"/>
      </w:r>
      <w:r>
        <w:rPr>
          <w:rFonts w:ascii="宋体" w:hAnsi="宋体" w:cs="宋体"/>
          <w:bCs/>
          <w:color w:val="000000" w:themeColor="text1"/>
          <w:szCs w:val="32"/>
          <w14:textFill>
            <w14:solidFill>
              <w14:schemeClr w14:val="tx1"/>
            </w14:solidFill>
          </w14:textFill>
        </w:rPr>
        <w:t>第</w:t>
      </w:r>
      <w:r>
        <w:rPr>
          <w:rFonts w:hint="eastAsia" w:ascii="宋体" w:hAnsi="宋体" w:cs="宋体"/>
          <w:bCs/>
          <w:color w:val="000000" w:themeColor="text1"/>
          <w:szCs w:val="32"/>
          <w14:textFill>
            <w14:solidFill>
              <w14:schemeClr w14:val="tx1"/>
            </w14:solidFill>
          </w14:textFill>
        </w:rPr>
        <w:t>六</w:t>
      </w:r>
      <w:r>
        <w:rPr>
          <w:rFonts w:ascii="宋体" w:hAnsi="宋体" w:cs="宋体"/>
          <w:bCs/>
          <w:color w:val="000000" w:themeColor="text1"/>
          <w:szCs w:val="32"/>
          <w14:textFill>
            <w14:solidFill>
              <w14:schemeClr w14:val="tx1"/>
            </w14:solidFill>
          </w14:textFill>
        </w:rPr>
        <w:t>章  采购合同主要条款</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_Toc18309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7"/>
        <w:tabs>
          <w:tab w:val="right" w:leader="dot" w:pos="9070"/>
        </w:tabs>
      </w:pPr>
      <w:r>
        <w:fldChar w:fldCharType="begin"/>
      </w:r>
      <w:r>
        <w:instrText xml:space="preserve"> HYPERLINK \l "_Toc4485" </w:instrText>
      </w:r>
      <w:r>
        <w:fldChar w:fldCharType="separate"/>
      </w:r>
      <w:r>
        <w:rPr>
          <w:rFonts w:ascii="宋体" w:hAnsi="宋体" w:cs="宋体"/>
          <w:color w:val="000000" w:themeColor="text1"/>
          <w14:textFill>
            <w14:solidFill>
              <w14:schemeClr w14:val="tx1"/>
            </w14:solidFill>
          </w14:textFill>
        </w:rPr>
        <w:t>采购合同（样本）</w:t>
      </w:r>
      <w:r>
        <w:rPr>
          <w:color w:val="000000" w:themeColor="text1"/>
          <w14:textFill>
            <w14:solidFill>
              <w14:schemeClr w14:val="tx1"/>
            </w14:solidFill>
          </w14:textFill>
        </w:rPr>
        <w:tab/>
      </w:r>
      <w:r>
        <w:rPr>
          <w:rFonts w:hint="eastAsia"/>
          <w:color w:val="FFFFFF" w:themeColor="background1"/>
          <w14:textFill>
            <w14:solidFill>
              <w14:schemeClr w14:val="bg1"/>
            </w14:solidFill>
          </w14:textFill>
        </w:rPr>
        <w:t>2</w:t>
      </w:r>
      <w:r>
        <w:rPr>
          <w:rFonts w:hint="eastAsia"/>
          <w:color w:val="FFFFFF" w:themeColor="background1"/>
          <w14:textFill>
            <w14:solidFill>
              <w14:schemeClr w14:val="bg1"/>
            </w14:solidFill>
          </w14:textFill>
        </w:rPr>
        <w:fldChar w:fldCharType="end"/>
      </w:r>
      <w:r>
        <w:rPr>
          <w:rFonts w:hint="eastAsia"/>
          <w:color w:val="000000" w:themeColor="text1"/>
          <w14:textFill>
            <w14:solidFill>
              <w14:schemeClr w14:val="tx1"/>
            </w14:solidFill>
          </w14:textFill>
        </w:rPr>
        <w:t>17</w:t>
      </w:r>
    </w:p>
    <w:p>
      <w:pPr>
        <w:pStyle w:val="14"/>
        <w:tabs>
          <w:tab w:val="right" w:leader="dot" w:pos="9070"/>
        </w:tabs>
        <w:rPr>
          <w:color w:val="000000" w:themeColor="text1"/>
          <w14:textFill>
            <w14:solidFill>
              <w14:schemeClr w14:val="tx1"/>
            </w14:solidFill>
          </w14:textFill>
        </w:rPr>
      </w:pPr>
      <w:r>
        <w:fldChar w:fldCharType="begin"/>
      </w:r>
      <w:r>
        <w:instrText xml:space="preserve"> HYPERLINK \l "_Toc28572" </w:instrText>
      </w:r>
      <w:r>
        <w:fldChar w:fldCharType="separate"/>
      </w:r>
      <w:r>
        <w:rPr>
          <w:rFonts w:hint="eastAsia" w:ascii="宋体" w:hAnsi="宋体" w:cs="宋体"/>
          <w:szCs w:val="32"/>
        </w:rPr>
        <w:t>第七章  谈判响应文件附件格式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_Toc28572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7"/>
        <w:tabs>
          <w:tab w:val="right" w:leader="dot" w:pos="9070"/>
        </w:tabs>
        <w:rPr>
          <w:color w:val="000000" w:themeColor="text1"/>
          <w14:textFill>
            <w14:solidFill>
              <w14:schemeClr w14:val="tx1"/>
            </w14:solidFill>
          </w14:textFill>
        </w:rPr>
      </w:pPr>
      <w:r>
        <w:fldChar w:fldCharType="begin"/>
      </w:r>
      <w:r>
        <w:instrText xml:space="preserve"> HYPERLINK \l "_Toc5573" </w:instrText>
      </w:r>
      <w:r>
        <w:fldChar w:fldCharType="separate"/>
      </w:r>
      <w:r>
        <w:rPr>
          <w:rFonts w:ascii="宋体" w:hAnsi="宋体" w:cs="宋体"/>
          <w:color w:val="000000" w:themeColor="text1"/>
          <w14:textFill>
            <w14:solidFill>
              <w14:schemeClr w14:val="tx1"/>
            </w14:solidFill>
          </w14:textFill>
        </w:rPr>
        <w:t>附件一：投标声明书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22</w:t>
      </w:r>
    </w:p>
    <w:p>
      <w:pPr>
        <w:pStyle w:val="17"/>
        <w:tabs>
          <w:tab w:val="right" w:leader="dot" w:pos="9070"/>
        </w:tabs>
        <w:rPr>
          <w:rFonts w:ascii="宋体" w:hAnsi="宋体" w:cs="宋体"/>
          <w:color w:val="000000" w:themeColor="text1"/>
          <w14:textFill>
            <w14:solidFill>
              <w14:schemeClr w14:val="tx1"/>
            </w14:solidFill>
          </w14:textFill>
        </w:rPr>
      </w:pPr>
      <w:r>
        <w:fldChar w:fldCharType="begin"/>
      </w:r>
      <w:r>
        <w:instrText xml:space="preserve"> HYPERLINK \l "_Toc17386" </w:instrText>
      </w:r>
      <w:r>
        <w:fldChar w:fldCharType="separate"/>
      </w:r>
      <w:r>
        <w:rPr>
          <w:rFonts w:ascii="宋体" w:hAnsi="宋体" w:cs="宋体"/>
          <w:color w:val="000000" w:themeColor="text1"/>
          <w14:textFill>
            <w14:solidFill>
              <w14:schemeClr w14:val="tx1"/>
            </w14:solidFill>
          </w14:textFill>
        </w:rPr>
        <w:t>附件二：</w:t>
      </w:r>
      <w:r>
        <w:rPr>
          <w:rFonts w:hint="eastAsia" w:ascii="宋体" w:hAnsi="宋体" w:cs="宋体"/>
          <w:bCs/>
          <w:szCs w:val="32"/>
        </w:rPr>
        <w:t>初次报价表</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23</w:t>
      </w:r>
    </w:p>
    <w:p>
      <w:pPr>
        <w:pStyle w:val="17"/>
        <w:tabs>
          <w:tab w:val="right" w:leader="dot" w:pos="9070"/>
        </w:tabs>
        <w:rPr>
          <w:color w:val="000000" w:themeColor="text1"/>
          <w14:textFill>
            <w14:solidFill>
              <w14:schemeClr w14:val="tx1"/>
            </w14:solidFill>
          </w14:textFill>
        </w:rPr>
      </w:pPr>
      <w:r>
        <w:rPr>
          <w:rFonts w:hint="eastAsia" w:ascii="宋体" w:hAnsi="宋体" w:cs="宋体"/>
          <w:bCs/>
          <w:color w:val="000000" w:themeColor="text1"/>
          <w:szCs w:val="32"/>
          <w14:textFill>
            <w14:solidFill>
              <w14:schemeClr w14:val="tx1"/>
            </w14:solidFill>
          </w14:textFill>
        </w:rPr>
        <w:t>附件三：</w:t>
      </w:r>
      <w:r>
        <w:rPr>
          <w:rFonts w:ascii="宋体" w:hAnsi="宋体" w:cs="宋体"/>
          <w:color w:val="000000" w:themeColor="text1"/>
          <w14:textFill>
            <w14:solidFill>
              <w14:schemeClr w14:val="tx1"/>
            </w14:solidFill>
          </w14:textFill>
        </w:rPr>
        <w:t>法定代表人授权委托书</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4</w:t>
      </w:r>
    </w:p>
    <w:p>
      <w:pPr>
        <w:pStyle w:val="17"/>
        <w:tabs>
          <w:tab w:val="right" w:leader="dot" w:pos="9070"/>
        </w:tabs>
        <w:rPr>
          <w:color w:val="000000" w:themeColor="text1"/>
          <w14:textFill>
            <w14:solidFill>
              <w14:schemeClr w14:val="tx1"/>
            </w14:solidFill>
          </w14:textFill>
        </w:rPr>
      </w:pPr>
      <w:r>
        <w:fldChar w:fldCharType="begin"/>
      </w:r>
      <w:r>
        <w:instrText xml:space="preserve"> HYPERLINK \l "_Toc3673" </w:instrText>
      </w:r>
      <w:r>
        <w:fldChar w:fldCharType="separate"/>
      </w:r>
      <w:r>
        <w:rPr>
          <w:rFonts w:ascii="宋体" w:hAnsi="宋体" w:cs="宋体"/>
          <w:color w:val="000000" w:themeColor="text1"/>
          <w14:textFill>
            <w14:solidFill>
              <w14:schemeClr w14:val="tx1"/>
            </w14:solidFill>
          </w14:textFill>
        </w:rPr>
        <w:t>附件</w:t>
      </w:r>
      <w:r>
        <w:rPr>
          <w:rFonts w:hint="eastAsia" w:ascii="宋体" w:hAnsi="宋体" w:cs="宋体"/>
          <w:color w:val="000000" w:themeColor="text1"/>
          <w14:textFill>
            <w14:solidFill>
              <w14:schemeClr w14:val="tx1"/>
            </w14:solidFill>
          </w14:textFill>
        </w:rPr>
        <w:t>四</w:t>
      </w:r>
      <w:r>
        <w:rPr>
          <w:rFonts w:ascii="宋体" w:hAnsi="宋体" w:cs="宋体"/>
          <w:color w:val="000000" w:themeColor="text1"/>
          <w14:textFill>
            <w14:solidFill>
              <w14:schemeClr w14:val="tx1"/>
            </w14:solidFill>
          </w14:textFill>
        </w:rPr>
        <w:t>：</w:t>
      </w:r>
      <w:r>
        <w:rPr>
          <w:rFonts w:ascii="宋体" w:hAnsi="宋体" w:cs="宋体"/>
          <w:bCs/>
          <w:color w:val="000000" w:themeColor="text1"/>
          <w14:textFill>
            <w14:solidFill>
              <w14:schemeClr w14:val="tx1"/>
            </w14:solidFill>
          </w14:textFill>
        </w:rPr>
        <w:t>诚信承诺书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25</w:t>
      </w:r>
    </w:p>
    <w:p>
      <w:pPr>
        <w:pStyle w:val="17"/>
        <w:tabs>
          <w:tab w:val="right" w:leader="dot" w:pos="9070"/>
        </w:tabs>
        <w:rPr>
          <w:color w:val="000000" w:themeColor="text1"/>
          <w:highlight w:val="red"/>
          <w14:textFill>
            <w14:solidFill>
              <w14:schemeClr w14:val="tx1"/>
            </w14:solidFill>
          </w14:textFill>
        </w:rPr>
      </w:pPr>
      <w:r>
        <w:fldChar w:fldCharType="begin"/>
      </w:r>
      <w:r>
        <w:instrText xml:space="preserve"> HYPERLINK \l "_Toc3673" </w:instrText>
      </w:r>
      <w:r>
        <w:fldChar w:fldCharType="separate"/>
      </w:r>
      <w:r>
        <w:rPr>
          <w:rFonts w:ascii="宋体" w:hAnsi="宋体" w:cs="宋体"/>
          <w:color w:val="000000" w:themeColor="text1"/>
          <w14:textFill>
            <w14:solidFill>
              <w14:schemeClr w14:val="tx1"/>
            </w14:solidFill>
          </w14:textFill>
        </w:rPr>
        <w:t>附件</w:t>
      </w:r>
      <w:r>
        <w:rPr>
          <w:rFonts w:hint="eastAsia" w:ascii="宋体" w:hAnsi="宋体" w:cs="宋体"/>
          <w:color w:val="000000" w:themeColor="text1"/>
          <w14:textFill>
            <w14:solidFill>
              <w14:schemeClr w14:val="tx1"/>
            </w14:solidFill>
          </w14:textFill>
        </w:rPr>
        <w:t>五</w:t>
      </w:r>
      <w:r>
        <w:rPr>
          <w:rFonts w:ascii="宋体" w:hAnsi="宋体" w:cs="宋体"/>
          <w:color w:val="000000" w:themeColor="text1"/>
          <w14:textFill>
            <w14:solidFill>
              <w14:schemeClr w14:val="tx1"/>
            </w14:solidFill>
          </w14:textFill>
        </w:rPr>
        <w:t>：</w:t>
      </w:r>
      <w:r>
        <w:rPr>
          <w:rFonts w:hint="eastAsia" w:ascii="宋体" w:hAnsi="宋体" w:cs="宋体"/>
          <w:bCs/>
          <w:color w:val="000000" w:themeColor="text1"/>
          <w14:textFill>
            <w14:solidFill>
              <w14:schemeClr w14:val="tx1"/>
            </w14:solidFill>
          </w14:textFill>
        </w:rPr>
        <w:t>商务、技术响应表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26</w:t>
      </w:r>
    </w:p>
    <w:p>
      <w:pPr>
        <w:pStyle w:val="17"/>
        <w:tabs>
          <w:tab w:val="right" w:leader="dot" w:pos="9070"/>
        </w:tabs>
        <w:rPr>
          <w:color w:val="000000" w:themeColor="text1"/>
          <w14:textFill>
            <w14:solidFill>
              <w14:schemeClr w14:val="tx1"/>
            </w14:solidFill>
          </w14:textFill>
        </w:rPr>
      </w:pPr>
    </w:p>
    <w:p>
      <w:pPr>
        <w:pStyle w:val="17"/>
        <w:tabs>
          <w:tab w:val="right" w:leader="dot" w:pos="9070"/>
        </w:tabs>
        <w:rPr>
          <w:color w:val="000000" w:themeColor="text1"/>
          <w14:textFill>
            <w14:solidFill>
              <w14:schemeClr w14:val="tx1"/>
            </w14:solidFill>
          </w14:textFill>
        </w:rPr>
      </w:pPr>
    </w:p>
    <w:p>
      <w:pPr>
        <w:pStyle w:val="17"/>
        <w:tabs>
          <w:tab w:val="right" w:leader="dot" w:pos="9070"/>
        </w:tabs>
        <w:rPr>
          <w:color w:val="000000" w:themeColor="text1"/>
          <w14:textFill>
            <w14:solidFill>
              <w14:schemeClr w14:val="tx1"/>
            </w14:solidFill>
          </w14:textFill>
        </w:rPr>
      </w:pPr>
      <w:r>
        <w:rPr>
          <w:color w:val="000000" w:themeColor="text1"/>
          <w14:textFill>
            <w14:solidFill>
              <w14:schemeClr w14:val="tx1"/>
            </w14:solidFill>
          </w14:textFill>
        </w:rPr>
        <w:fldChar w:fldCharType="end"/>
      </w:r>
    </w:p>
    <w:p>
      <w:pPr>
        <w:pStyle w:val="44"/>
        <w:snapToGrid w:val="0"/>
        <w:spacing w:line="240" w:lineRule="auto"/>
        <w:jc w:val="center"/>
        <w:rPr>
          <w:rFonts w:ascii="黑体" w:hAnsi="黑体" w:eastAsia="黑体"/>
          <w:color w:val="000000" w:themeColor="text1"/>
          <w14:textFill>
            <w14:solidFill>
              <w14:schemeClr w14:val="tx1"/>
            </w14:solidFill>
          </w14:textFill>
        </w:rPr>
      </w:pPr>
    </w:p>
    <w:p>
      <w:pPr>
        <w:pStyle w:val="44"/>
        <w:snapToGrid w:val="0"/>
        <w:spacing w:line="240" w:lineRule="auto"/>
        <w:jc w:val="center"/>
        <w:rPr>
          <w:rFonts w:ascii="黑体" w:hAnsi="黑体" w:eastAsia="黑体"/>
          <w:color w:val="000000" w:themeColor="text1"/>
          <w14:textFill>
            <w14:solidFill>
              <w14:schemeClr w14:val="tx1"/>
            </w14:solidFill>
          </w14:textFill>
        </w:rPr>
      </w:pPr>
    </w:p>
    <w:p>
      <w:pPr>
        <w:pStyle w:val="44"/>
        <w:snapToGrid w:val="0"/>
        <w:spacing w:line="240" w:lineRule="auto"/>
        <w:jc w:val="center"/>
        <w:rPr>
          <w:rFonts w:ascii="黑体" w:hAnsi="黑体" w:eastAsia="黑体"/>
          <w:color w:val="000000" w:themeColor="text1"/>
          <w14:textFill>
            <w14:solidFill>
              <w14:schemeClr w14:val="tx1"/>
            </w14:solidFill>
          </w14:textFill>
        </w:rPr>
      </w:pPr>
    </w:p>
    <w:p>
      <w:pPr>
        <w:pStyle w:val="44"/>
        <w:snapToGrid w:val="0"/>
        <w:spacing w:line="240" w:lineRule="auto"/>
        <w:jc w:val="center"/>
        <w:rPr>
          <w:rFonts w:ascii="黑体" w:hAnsi="黑体" w:eastAsia="黑体"/>
          <w:color w:val="000000" w:themeColor="text1"/>
          <w14:textFill>
            <w14:solidFill>
              <w14:schemeClr w14:val="tx1"/>
            </w14:solidFill>
          </w14:textFill>
        </w:rPr>
      </w:pPr>
    </w:p>
    <w:p>
      <w:pPr>
        <w:pStyle w:val="44"/>
        <w:snapToGrid w:val="0"/>
        <w:spacing w:line="240" w:lineRule="auto"/>
        <w:jc w:val="center"/>
        <w:rPr>
          <w:rFonts w:ascii="黑体" w:hAnsi="黑体" w:eastAsia="黑体"/>
          <w:color w:val="000000" w:themeColor="text1"/>
          <w14:textFill>
            <w14:solidFill>
              <w14:schemeClr w14:val="tx1"/>
            </w14:solidFill>
          </w14:textFill>
        </w:rPr>
      </w:pPr>
    </w:p>
    <w:p>
      <w:pPr>
        <w:pStyle w:val="44"/>
        <w:snapToGrid w:val="0"/>
        <w:spacing w:line="240" w:lineRule="auto"/>
        <w:jc w:val="center"/>
        <w:rPr>
          <w:rFonts w:ascii="黑体" w:hAnsi="黑体" w:eastAsia="黑体"/>
          <w:color w:val="000000" w:themeColor="text1"/>
          <w14:textFill>
            <w14:solidFill>
              <w14:schemeClr w14:val="tx1"/>
            </w14:solidFill>
          </w14:textFill>
        </w:rPr>
      </w:pPr>
    </w:p>
    <w:p>
      <w:pPr>
        <w:pStyle w:val="44"/>
        <w:snapToGrid w:val="0"/>
        <w:spacing w:line="240" w:lineRule="auto"/>
        <w:jc w:val="center"/>
        <w:rPr>
          <w:rFonts w:ascii="黑体" w:hAnsi="黑体" w:eastAsia="黑体"/>
          <w:color w:val="000000" w:themeColor="text1"/>
          <w14:textFill>
            <w14:solidFill>
              <w14:schemeClr w14:val="tx1"/>
            </w14:solidFill>
          </w14:textFill>
        </w:rPr>
      </w:pPr>
    </w:p>
    <w:p>
      <w:pPr>
        <w:pStyle w:val="44"/>
        <w:snapToGrid w:val="0"/>
        <w:spacing w:line="240" w:lineRule="auto"/>
        <w:jc w:val="center"/>
        <w:rPr>
          <w:rFonts w:ascii="黑体" w:hAnsi="黑体" w:eastAsia="黑体"/>
          <w:color w:val="000000" w:themeColor="text1"/>
          <w14:textFill>
            <w14:solidFill>
              <w14:schemeClr w14:val="tx1"/>
            </w14:solidFill>
          </w14:textFill>
        </w:rPr>
      </w:pPr>
    </w:p>
    <w:p>
      <w:pPr>
        <w:pStyle w:val="44"/>
        <w:snapToGrid w:val="0"/>
        <w:spacing w:line="240" w:lineRule="auto"/>
        <w:jc w:val="center"/>
        <w:rPr>
          <w:rFonts w:ascii="黑体" w:hAnsi="黑体" w:eastAsia="黑体"/>
          <w:color w:val="000000" w:themeColor="text1"/>
          <w14:textFill>
            <w14:solidFill>
              <w14:schemeClr w14:val="tx1"/>
            </w14:solidFill>
          </w14:textFill>
        </w:rPr>
      </w:pPr>
    </w:p>
    <w:p>
      <w:pPr>
        <w:rPr>
          <w:rStyle w:val="39"/>
          <w:color w:val="000000" w:themeColor="text1"/>
          <w14:textFill>
            <w14:solidFill>
              <w14:schemeClr w14:val="tx1"/>
            </w14:solidFill>
          </w14:textFill>
        </w:rPr>
      </w:pPr>
      <w:r>
        <w:rPr>
          <w:rStyle w:val="39"/>
          <w:color w:val="000000" w:themeColor="text1"/>
          <w14:textFill>
            <w14:solidFill>
              <w14:schemeClr w14:val="tx1"/>
            </w14:solidFill>
          </w14:textFill>
        </w:rPr>
        <w:br w:type="page"/>
      </w:r>
    </w:p>
    <w:p>
      <w:pPr>
        <w:pStyle w:val="44"/>
        <w:snapToGrid w:val="0"/>
        <w:spacing w:line="240" w:lineRule="auto"/>
        <w:jc w:val="center"/>
        <w:outlineLvl w:val="0"/>
        <w:rPr>
          <w:rStyle w:val="39"/>
          <w:color w:val="000000" w:themeColor="text1"/>
          <w14:textFill>
            <w14:solidFill>
              <w14:schemeClr w14:val="tx1"/>
            </w14:solidFill>
          </w14:textFill>
        </w:rPr>
      </w:pPr>
      <w:bookmarkStart w:id="0" w:name="_Toc15458"/>
      <w:r>
        <w:rPr>
          <w:rStyle w:val="39"/>
          <w:color w:val="000000" w:themeColor="text1"/>
          <w14:textFill>
            <w14:solidFill>
              <w14:schemeClr w14:val="tx1"/>
            </w14:solidFill>
          </w14:textFill>
        </w:rPr>
        <w:t xml:space="preserve">第一章  </w:t>
      </w:r>
      <w:r>
        <w:rPr>
          <w:rStyle w:val="39"/>
          <w:rFonts w:hint="eastAsia"/>
          <w:color w:val="000000" w:themeColor="text1"/>
          <w14:textFill>
            <w14:solidFill>
              <w14:schemeClr w14:val="tx1"/>
            </w14:solidFill>
          </w14:textFill>
        </w:rPr>
        <w:t>竞争性谈判</w:t>
      </w:r>
      <w:r>
        <w:rPr>
          <w:rStyle w:val="39"/>
          <w:color w:val="000000" w:themeColor="text1"/>
          <w14:textFill>
            <w14:solidFill>
              <w14:schemeClr w14:val="tx1"/>
            </w14:solidFill>
          </w14:textFill>
        </w:rPr>
        <w:t>公告</w:t>
      </w:r>
      <w:bookmarkEnd w:id="0"/>
    </w:p>
    <w:p>
      <w:pPr>
        <w:spacing w:line="400" w:lineRule="exact"/>
        <w:rPr>
          <w:b/>
          <w:color w:val="000000" w:themeColor="text1"/>
          <w:sz w:val="24"/>
          <w:u w:val="single"/>
          <w14:textFill>
            <w14:solidFill>
              <w14:schemeClr w14:val="tx1"/>
            </w14:solidFill>
          </w14:textFill>
        </w:rPr>
      </w:pPr>
      <w:r>
        <w:rPr>
          <w:rFonts w:ascii="黑体" w:hAnsi="黑体" w:eastAsia="黑体" w:cs="黑体"/>
          <w:color w:val="000000" w:themeColor="text1"/>
          <w:sz w:val="30"/>
          <w:szCs w:val="30"/>
          <w14:textFill>
            <w14:solidFill>
              <w14:schemeClr w14:val="tx1"/>
            </w14:solidFill>
          </w14:textFill>
        </w:rPr>
        <w:t xml:space="preserve">   </w:t>
      </w:r>
      <w:r>
        <w:rPr>
          <w:color w:val="000000" w:themeColor="text1"/>
          <w:sz w:val="24"/>
          <w14:textFill>
            <w14:solidFill>
              <w14:schemeClr w14:val="tx1"/>
            </w14:solidFill>
          </w14:textFill>
        </w:rPr>
        <w:t> 根据《中华人民共和国政府采购法》、《浙江广厦建设职业技术大学招投标管理办法》等有关规定，现就</w:t>
      </w:r>
      <w:r>
        <w:rPr>
          <w:rFonts w:hint="eastAsia"/>
          <w:color w:val="000000" w:themeColor="text1"/>
          <w:sz w:val="24"/>
          <w14:textFill>
            <w14:solidFill>
              <w14:schemeClr w14:val="tx1"/>
            </w14:solidFill>
          </w14:textFill>
        </w:rPr>
        <w:t>浙江广厦建设职业技术大学移动式垃圾压缩机</w:t>
      </w:r>
      <w:r>
        <w:rPr>
          <w:color w:val="000000" w:themeColor="text1"/>
          <w:sz w:val="24"/>
          <w14:textFill>
            <w14:solidFill>
              <w14:schemeClr w14:val="tx1"/>
            </w14:solidFill>
          </w14:textFill>
        </w:rPr>
        <w:t>进行</w:t>
      </w:r>
      <w:r>
        <w:rPr>
          <w:rFonts w:hint="eastAsia" w:ascii="宋体" w:hAnsi="宋体" w:cs="宋体"/>
          <w:sz w:val="24"/>
        </w:rPr>
        <w:t>采购事项公告如下。</w:t>
      </w:r>
    </w:p>
    <w:p>
      <w:pPr>
        <w:snapToGrid w:val="0"/>
        <w:spacing w:line="400" w:lineRule="exact"/>
        <w:ind w:firstLine="480"/>
        <w:rPr>
          <w:rFonts w:ascii="宋体" w:hAnsi="宋体" w:cs="宋体"/>
          <w:color w:val="000000" w:themeColor="text1"/>
          <w:kern w:val="0"/>
          <w:sz w:val="24"/>
          <w14:textFill>
            <w14:solidFill>
              <w14:schemeClr w14:val="tx1"/>
            </w14:solidFill>
          </w14:textFill>
        </w:rPr>
      </w:pPr>
      <w:r>
        <w:rPr>
          <w:rFonts w:ascii="宋体" w:hAnsi="宋体" w:cs="Arial"/>
          <w:color w:val="000000" w:themeColor="text1"/>
          <w:sz w:val="24"/>
          <w14:textFill>
            <w14:solidFill>
              <w14:schemeClr w14:val="tx1"/>
            </w14:solidFill>
          </w14:textFill>
        </w:rPr>
        <w:t>一、</w:t>
      </w:r>
      <w:r>
        <w:rPr>
          <w:rFonts w:ascii="宋体" w:hAnsi="宋体" w:cs="Arial"/>
          <w:b/>
          <w:bCs/>
          <w:color w:val="000000" w:themeColor="text1"/>
          <w:sz w:val="24"/>
          <w14:textFill>
            <w14:solidFill>
              <w14:schemeClr w14:val="tx1"/>
            </w14:solidFill>
          </w14:textFill>
        </w:rPr>
        <w:t>项目编号：</w:t>
      </w:r>
      <w:r>
        <w:rPr>
          <w:rFonts w:hint="eastAsia" w:ascii="宋体" w:hAnsi="宋体" w:cs="宋体"/>
          <w:color w:val="000000" w:themeColor="text1"/>
          <w:kern w:val="0"/>
          <w:sz w:val="24"/>
          <w14:textFill>
            <w14:solidFill>
              <w14:schemeClr w14:val="tx1"/>
            </w14:solidFill>
          </w14:textFill>
        </w:rPr>
        <w:t>ZJGS2021-C014</w:t>
      </w:r>
    </w:p>
    <w:p>
      <w:pPr>
        <w:snapToGrid w:val="0"/>
        <w:spacing w:line="400" w:lineRule="exact"/>
        <w:ind w:firstLine="480"/>
        <w:rPr>
          <w:rFonts w:ascii="宋体" w:hAnsi="宋体" w:cs="Arial"/>
          <w:color w:val="000000" w:themeColor="text1"/>
          <w:sz w:val="24"/>
          <w:szCs w:val="20"/>
          <w14:textFill>
            <w14:solidFill>
              <w14:schemeClr w14:val="tx1"/>
            </w14:solidFill>
          </w14:textFill>
        </w:rPr>
      </w:pPr>
      <w:r>
        <w:rPr>
          <w:rFonts w:ascii="宋体" w:hAnsi="宋体" w:cs="Arial"/>
          <w:color w:val="000000" w:themeColor="text1"/>
          <w:sz w:val="24"/>
          <w14:textFill>
            <w14:solidFill>
              <w14:schemeClr w14:val="tx1"/>
            </w14:solidFill>
          </w14:textFill>
        </w:rPr>
        <w:t>二、</w:t>
      </w:r>
      <w:r>
        <w:rPr>
          <w:rFonts w:ascii="宋体" w:hAnsi="宋体" w:cs="Arial"/>
          <w:b/>
          <w:color w:val="000000" w:themeColor="text1"/>
          <w:sz w:val="24"/>
          <w14:textFill>
            <w14:solidFill>
              <w14:schemeClr w14:val="tx1"/>
            </w14:solidFill>
          </w14:textFill>
        </w:rPr>
        <w:t>采购组织类型：</w:t>
      </w:r>
      <w:r>
        <w:rPr>
          <w:rFonts w:ascii="宋体" w:hAnsi="宋体" w:cs="Arial"/>
          <w:color w:val="000000" w:themeColor="text1"/>
          <w:sz w:val="24"/>
          <w14:textFill>
            <w14:solidFill>
              <w14:schemeClr w14:val="tx1"/>
            </w14:solidFill>
          </w14:textFill>
        </w:rPr>
        <w:t>自行采购</w:t>
      </w:r>
    </w:p>
    <w:p>
      <w:pPr>
        <w:snapToGrid w:val="0"/>
        <w:spacing w:line="400" w:lineRule="exact"/>
        <w:ind w:firstLine="482"/>
        <w:rPr>
          <w:rFonts w:ascii="宋体" w:hAnsi="宋体" w:cs="Arial"/>
          <w:color w:val="000000" w:themeColor="text1"/>
          <w:sz w:val="24"/>
          <w:szCs w:val="20"/>
          <w14:textFill>
            <w14:solidFill>
              <w14:schemeClr w14:val="tx1"/>
            </w14:solidFill>
          </w14:textFill>
        </w:rPr>
      </w:pPr>
      <w:r>
        <w:rPr>
          <w:rFonts w:ascii="宋体" w:hAnsi="宋体" w:cs="Arial"/>
          <w:b/>
          <w:color w:val="000000" w:themeColor="text1"/>
          <w:sz w:val="24"/>
          <w14:textFill>
            <w14:solidFill>
              <w14:schemeClr w14:val="tx1"/>
            </w14:solidFill>
          </w14:textFill>
        </w:rPr>
        <w:t>三、采购方式：</w:t>
      </w:r>
      <w:r>
        <w:rPr>
          <w:rFonts w:hint="eastAsia" w:ascii="宋体" w:hAnsi="宋体" w:cs="宋体"/>
          <w:sz w:val="24"/>
        </w:rPr>
        <w:t>竞争性谈判</w:t>
      </w:r>
    </w:p>
    <w:p>
      <w:pPr>
        <w:snapToGrid w:val="0"/>
        <w:spacing w:line="400" w:lineRule="exact"/>
        <w:ind w:firstLine="482"/>
        <w:rPr>
          <w:rFonts w:ascii="宋体" w:hAnsi="宋体" w:cs="Arial"/>
          <w:b/>
          <w:color w:val="000000" w:themeColor="text1"/>
          <w:sz w:val="24"/>
          <w14:textFill>
            <w14:solidFill>
              <w14:schemeClr w14:val="tx1"/>
            </w14:solidFill>
          </w14:textFill>
        </w:rPr>
      </w:pPr>
      <w:r>
        <w:rPr>
          <w:rFonts w:ascii="宋体" w:hAnsi="宋体" w:cs="Arial"/>
          <w:b/>
          <w:color w:val="000000" w:themeColor="text1"/>
          <w:sz w:val="24"/>
          <w14:textFill>
            <w14:solidFill>
              <w14:schemeClr w14:val="tx1"/>
            </w14:solidFill>
          </w14:textFill>
        </w:rPr>
        <w:t>四、采购内容及数量：</w:t>
      </w:r>
    </w:p>
    <w:tbl>
      <w:tblPr>
        <w:tblStyle w:val="21"/>
        <w:tblW w:w="8946" w:type="dxa"/>
        <w:tblInd w:w="40" w:type="dxa"/>
        <w:tblLayout w:type="fixed"/>
        <w:tblCellMar>
          <w:top w:w="0" w:type="dxa"/>
          <w:left w:w="108" w:type="dxa"/>
          <w:bottom w:w="0" w:type="dxa"/>
          <w:right w:w="108" w:type="dxa"/>
        </w:tblCellMar>
      </w:tblPr>
      <w:tblGrid>
        <w:gridCol w:w="4791"/>
        <w:gridCol w:w="4155"/>
      </w:tblGrid>
      <w:tr>
        <w:tblPrEx>
          <w:tblCellMar>
            <w:top w:w="0" w:type="dxa"/>
            <w:left w:w="108" w:type="dxa"/>
            <w:bottom w:w="0" w:type="dxa"/>
            <w:right w:w="108" w:type="dxa"/>
          </w:tblCellMar>
        </w:tblPrEx>
        <w:trPr>
          <w:trHeight w:val="426" w:hRule="atLeast"/>
        </w:trPr>
        <w:tc>
          <w:tcPr>
            <w:tcW w:w="4791"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宋体" w:hAnsi="宋体"/>
                <w:color w:val="000000" w:themeColor="text1"/>
                <w:kern w:val="0"/>
                <w:sz w:val="24"/>
                <w:lang w:val="zh-CN"/>
                <w14:textFill>
                  <w14:solidFill>
                    <w14:schemeClr w14:val="tx1"/>
                  </w14:solidFill>
                </w14:textFill>
              </w:rPr>
            </w:pPr>
            <w:r>
              <w:rPr>
                <w:rFonts w:ascii="宋体" w:hAnsi="宋体"/>
                <w:color w:val="000000" w:themeColor="text1"/>
                <w:kern w:val="0"/>
                <w:sz w:val="24"/>
                <w:lang w:val="zh-CN"/>
                <w14:textFill>
                  <w14:solidFill>
                    <w14:schemeClr w14:val="tx1"/>
                  </w14:solidFill>
                </w14:textFill>
              </w:rPr>
              <w:t>采购内容</w:t>
            </w:r>
          </w:p>
        </w:tc>
        <w:tc>
          <w:tcPr>
            <w:tcW w:w="4155" w:type="dxa"/>
            <w:tcBorders>
              <w:top w:val="single" w:color="000000" w:sz="4" w:space="0"/>
              <w:left w:val="single" w:color="000000" w:sz="4" w:space="0"/>
              <w:bottom w:val="single" w:color="000000" w:sz="4" w:space="0"/>
              <w:right w:val="single" w:color="000000" w:sz="4" w:space="0"/>
            </w:tcBorders>
            <w:vAlign w:val="center"/>
          </w:tcPr>
          <w:p>
            <w:pPr>
              <w:spacing w:before="60" w:after="60" w:line="400" w:lineRule="exact"/>
              <w:ind w:right="60"/>
              <w:jc w:val="center"/>
              <w:rPr>
                <w:rFonts w:ascii="宋体" w:hAnsi="宋体"/>
                <w:b/>
                <w:color w:val="000000"/>
                <w:sz w:val="24"/>
                <w:lang w:val="zh-CN"/>
              </w:rPr>
            </w:pPr>
            <w:r>
              <w:rPr>
                <w:rFonts w:hint="eastAsia" w:ascii="宋体" w:hAnsi="宋体" w:cs="宋体"/>
                <w:b/>
                <w:sz w:val="24"/>
                <w:szCs w:val="20"/>
              </w:rPr>
              <w:t>预算金额</w:t>
            </w:r>
          </w:p>
        </w:tc>
      </w:tr>
      <w:tr>
        <w:tblPrEx>
          <w:tblCellMar>
            <w:top w:w="0" w:type="dxa"/>
            <w:left w:w="108" w:type="dxa"/>
            <w:bottom w:w="0" w:type="dxa"/>
            <w:right w:w="108" w:type="dxa"/>
          </w:tblCellMar>
        </w:tblPrEx>
        <w:trPr>
          <w:trHeight w:val="782" w:hRule="atLeast"/>
        </w:trPr>
        <w:tc>
          <w:tcPr>
            <w:tcW w:w="4791" w:type="dxa"/>
            <w:tcBorders>
              <w:top w:val="single" w:color="000000" w:sz="4" w:space="0"/>
              <w:left w:val="single" w:color="000000" w:sz="4" w:space="0"/>
              <w:bottom w:val="single" w:color="000000" w:sz="4" w:space="0"/>
              <w:right w:val="single" w:color="000000" w:sz="4" w:space="0"/>
            </w:tcBorders>
            <w:vAlign w:val="center"/>
          </w:tcPr>
          <w:p>
            <w:pPr>
              <w:pStyle w:val="47"/>
              <w:spacing w:line="400" w:lineRule="exact"/>
              <w:ind w:firstLine="0" w:firstLineChars="0"/>
              <w:jc w:val="center"/>
              <w:rPr>
                <w:rFonts w:ascii="宋体" w:hAnsi="宋体"/>
                <w:color w:val="000000" w:themeColor="text1"/>
                <w:kern w:val="0"/>
                <w:sz w:val="24"/>
                <w:lang w:val="zh-CN"/>
                <w14:textFill>
                  <w14:solidFill>
                    <w14:schemeClr w14:val="tx1"/>
                  </w14:solidFill>
                </w14:textFill>
              </w:rPr>
            </w:pPr>
            <w:r>
              <w:rPr>
                <w:rFonts w:hint="eastAsia" w:ascii="宋体" w:hAnsi="宋体" w:cs="Arial"/>
                <w:bCs/>
                <w:color w:val="000000" w:themeColor="text1"/>
                <w:sz w:val="24"/>
                <w:szCs w:val="20"/>
                <w14:textFill>
                  <w14:solidFill>
                    <w14:schemeClr w14:val="tx1"/>
                  </w14:solidFill>
                </w14:textFill>
              </w:rPr>
              <w:t>移动式垃圾压缩机</w:t>
            </w:r>
          </w:p>
        </w:tc>
        <w:tc>
          <w:tcPr>
            <w:tcW w:w="415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olor w:val="000000"/>
                <w:sz w:val="24"/>
              </w:rPr>
            </w:pPr>
            <w:r>
              <w:rPr>
                <w:rFonts w:hint="eastAsia" w:ascii="宋体" w:hAnsi="宋体"/>
                <w:color w:val="000000"/>
                <w:sz w:val="24"/>
              </w:rPr>
              <w:t>16万</w:t>
            </w:r>
          </w:p>
        </w:tc>
      </w:tr>
    </w:tbl>
    <w:p>
      <w:pPr>
        <w:tabs>
          <w:tab w:val="left" w:pos="0"/>
        </w:tabs>
        <w:snapToGrid w:val="0"/>
        <w:spacing w:line="400" w:lineRule="exact"/>
        <w:ind w:firstLine="482" w:firstLineChars="200"/>
        <w:rPr>
          <w:rFonts w:ascii="宋体" w:hAnsi="宋体" w:cs="Arial"/>
          <w:b/>
          <w:color w:val="000000" w:themeColor="text1"/>
          <w:sz w:val="24"/>
          <w14:textFill>
            <w14:solidFill>
              <w14:schemeClr w14:val="tx1"/>
            </w14:solidFill>
          </w14:textFill>
        </w:rPr>
      </w:pPr>
      <w:r>
        <w:rPr>
          <w:rFonts w:hint="eastAsia" w:ascii="宋体" w:hAnsi="宋体" w:cs="Arial"/>
          <w:b/>
          <w:color w:val="000000" w:themeColor="text1"/>
          <w:sz w:val="24"/>
          <w14:textFill>
            <w14:solidFill>
              <w14:schemeClr w14:val="tx1"/>
            </w14:solidFill>
          </w14:textFill>
        </w:rPr>
        <w:t>五、</w:t>
      </w:r>
      <w:r>
        <w:rPr>
          <w:rFonts w:ascii="宋体" w:hAnsi="宋体" w:cs="Arial"/>
          <w:b/>
          <w:color w:val="000000" w:themeColor="text1"/>
          <w:sz w:val="24"/>
          <w14:textFill>
            <w14:solidFill>
              <w14:schemeClr w14:val="tx1"/>
            </w14:solidFill>
          </w14:textFill>
        </w:rPr>
        <w:t>合格投标人的资格要求</w:t>
      </w:r>
    </w:p>
    <w:p>
      <w:pPr>
        <w:snapToGrid w:val="0"/>
        <w:spacing w:line="400" w:lineRule="exact"/>
        <w:ind w:firstLine="480"/>
        <w:rPr>
          <w:color w:val="000000" w:themeColor="text1"/>
          <w14:textFill>
            <w14:solidFill>
              <w14:schemeClr w14:val="tx1"/>
            </w14:solidFill>
          </w14:textFill>
        </w:rPr>
      </w:pPr>
      <w:r>
        <w:rPr>
          <w:rFonts w:ascii="宋体" w:hAnsi="宋体" w:cs="Arial"/>
          <w:color w:val="000000" w:themeColor="text1"/>
          <w:sz w:val="24"/>
          <w14:textFill>
            <w14:solidFill>
              <w14:schemeClr w14:val="tx1"/>
            </w14:solidFill>
          </w14:textFill>
        </w:rPr>
        <w:t>符合《中华人民共和国政府采购法》第二十二条规定的投标人资格条件和本公告设定的特定条件。</w:t>
      </w:r>
    </w:p>
    <w:p>
      <w:pPr>
        <w:snapToGrid w:val="0"/>
        <w:spacing w:line="400" w:lineRule="exact"/>
        <w:ind w:firstLine="240"/>
        <w:rPr>
          <w:rFonts w:ascii="宋体" w:hAnsi="宋体" w:cs="宋体"/>
          <w:b/>
          <w:bCs/>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w:t>
      </w:r>
      <w:r>
        <w:rPr>
          <w:rFonts w:ascii="宋体" w:hAnsi="宋体" w:cs="宋体"/>
          <w:b/>
          <w:bCs/>
          <w:color w:val="000000" w:themeColor="text1"/>
          <w:sz w:val="24"/>
          <w14:textFill>
            <w14:solidFill>
              <w14:schemeClr w14:val="tx1"/>
            </w14:solidFill>
          </w14:textFill>
        </w:rPr>
        <w:t>投标人的特定条件：</w:t>
      </w:r>
    </w:p>
    <w:p>
      <w:pPr>
        <w:shd w:val="clear" w:color="auto" w:fill="FFFFFF"/>
        <w:snapToGrid w:val="0"/>
        <w:spacing w:line="400" w:lineRule="exact"/>
        <w:ind w:left="479"/>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A、投标人需具有独立法人资格，具有工商注册经营许可。</w:t>
      </w:r>
    </w:p>
    <w:p>
      <w:pPr>
        <w:shd w:val="clear" w:color="auto" w:fill="FFFFFF"/>
        <w:snapToGrid w:val="0"/>
        <w:spacing w:line="400" w:lineRule="exact"/>
        <w:ind w:firstLine="482"/>
        <w:rPr>
          <w:rFonts w:ascii="宋体" w:hAnsi="宋体" w:cs="宋体"/>
          <w:b/>
          <w:bCs/>
          <w:color w:val="000000" w:themeColor="text1"/>
          <w:sz w:val="24"/>
          <w14:textFill>
            <w14:solidFill>
              <w14:schemeClr w14:val="tx1"/>
            </w14:solidFill>
          </w14:textFill>
        </w:rPr>
      </w:pPr>
      <w:r>
        <w:rPr>
          <w:rFonts w:ascii="宋体" w:hAnsi="宋体" w:cs="宋体"/>
          <w:b/>
          <w:bCs/>
          <w:color w:val="000000" w:themeColor="text1"/>
          <w:kern w:val="0"/>
          <w:sz w:val="24"/>
          <w14:textFill>
            <w14:solidFill>
              <w14:schemeClr w14:val="tx1"/>
            </w14:solidFill>
          </w14:textFill>
        </w:rPr>
        <w:t>B、</w:t>
      </w:r>
      <w:r>
        <w:rPr>
          <w:rFonts w:ascii="宋体" w:hAnsi="宋体" w:cs="宋体"/>
          <w:b/>
          <w:bCs/>
          <w:color w:val="000000" w:themeColor="text1"/>
          <w:sz w:val="24"/>
          <w14:textFill>
            <w14:solidFill>
              <w14:schemeClr w14:val="tx1"/>
            </w14:solidFill>
          </w14:textFill>
        </w:rPr>
        <w:t>1、符合《中华人民共和国政府采购法》第二十二条和浙财采监【2013】24号《关于规范政府采购供应商资格设定及资格审查的通知》第六条规定,且未被“信用中国”（www.creditchina.gov.cn）、“中国政府采购网”（www.ccgp.gov.cn）列入失信被执行人、重大税收违法案件当事人名单、政府采购严重违法失信行为记录名单。</w:t>
      </w:r>
    </w:p>
    <w:p>
      <w:pPr>
        <w:spacing w:line="400" w:lineRule="exact"/>
        <w:ind w:firstLine="48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D</w:t>
      </w:r>
      <w:r>
        <w:rPr>
          <w:rFonts w:ascii="宋体" w:hAnsi="宋体" w:cs="宋体"/>
          <w:color w:val="000000" w:themeColor="text1"/>
          <w:kern w:val="0"/>
          <w:sz w:val="24"/>
          <w14:textFill>
            <w14:solidFill>
              <w14:schemeClr w14:val="tx1"/>
            </w14:solidFill>
          </w14:textFill>
        </w:rPr>
        <w:t>、本项目不接受联合体投标。</w:t>
      </w:r>
    </w:p>
    <w:p>
      <w:pPr>
        <w:snapToGrid w:val="0"/>
        <w:spacing w:line="400" w:lineRule="exact"/>
        <w:ind w:firstLine="482"/>
        <w:rPr>
          <w:rFonts w:ascii="宋体" w:hAnsi="宋体" w:cs="Arial"/>
          <w:b/>
          <w:color w:val="000000" w:themeColor="text1"/>
          <w:sz w:val="24"/>
          <w14:textFill>
            <w14:solidFill>
              <w14:schemeClr w14:val="tx1"/>
            </w14:solidFill>
          </w14:textFill>
        </w:rPr>
      </w:pPr>
      <w:r>
        <w:rPr>
          <w:rFonts w:ascii="宋体" w:hAnsi="宋体" w:cs="Arial"/>
          <w:b/>
          <w:color w:val="000000" w:themeColor="text1"/>
          <w:sz w:val="24"/>
          <w14:textFill>
            <w14:solidFill>
              <w14:schemeClr w14:val="tx1"/>
            </w14:solidFill>
          </w14:textFill>
        </w:rPr>
        <w:t>六、招标文件的获取及报名方式</w:t>
      </w:r>
    </w:p>
    <w:p>
      <w:pPr>
        <w:snapToGrid w:val="0"/>
        <w:spacing w:line="400" w:lineRule="exact"/>
        <w:ind w:firstLine="42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本项目谈判截止时间：2021年9月30日9时30分前</w:t>
      </w:r>
    </w:p>
    <w:p>
      <w:pPr>
        <w:snapToGrid w:val="0"/>
        <w:spacing w:line="400" w:lineRule="exact"/>
        <w:ind w:firstLine="42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报名可通</w:t>
      </w:r>
      <w:r>
        <w:rPr>
          <w:rFonts w:ascii="宋体" w:hAnsi="宋体" w:cs="Arial"/>
          <w:color w:val="000000" w:themeColor="text1"/>
          <w:sz w:val="24"/>
          <w14:textFill>
            <w14:solidFill>
              <w14:schemeClr w14:val="tx1"/>
            </w14:solidFill>
          </w14:textFill>
        </w:rPr>
        <w:t>过邮箱方式</w:t>
      </w:r>
      <w:r>
        <w:rPr>
          <w:rFonts w:hint="eastAsia" w:ascii="宋体" w:hAnsi="宋体" w:cs="Arial"/>
          <w:color w:val="000000" w:themeColor="text1"/>
          <w:sz w:val="24"/>
          <w14:textFill>
            <w14:solidFill>
              <w14:schemeClr w14:val="tx1"/>
            </w14:solidFill>
          </w14:textFill>
        </w:rPr>
        <w:t>或</w:t>
      </w:r>
      <w:r>
        <w:rPr>
          <w:rFonts w:ascii="宋体" w:hAnsi="宋体" w:cs="Arial"/>
          <w:color w:val="000000" w:themeColor="text1"/>
          <w:sz w:val="24"/>
          <w14:textFill>
            <w14:solidFill>
              <w14:schemeClr w14:val="tx1"/>
            </w14:solidFill>
          </w14:textFill>
        </w:rPr>
        <w:t>送达</w:t>
      </w:r>
      <w:r>
        <w:rPr>
          <w:rFonts w:hint="eastAsia" w:ascii="宋体" w:hAnsi="宋体" w:cs="Arial"/>
          <w:color w:val="000000" w:themeColor="text1"/>
          <w:sz w:val="24"/>
          <w14:textFill>
            <w14:solidFill>
              <w14:schemeClr w14:val="tx1"/>
            </w14:solidFill>
          </w14:textFill>
        </w:rPr>
        <w:t>至浙江广厦建设职业技术大学213办公室</w:t>
      </w:r>
      <w:r>
        <w:rPr>
          <w:rFonts w:ascii="宋体" w:hAnsi="宋体" w:cs="Arial"/>
          <w:color w:val="000000" w:themeColor="text1"/>
          <w:sz w:val="24"/>
          <w14:textFill>
            <w14:solidFill>
              <w14:schemeClr w14:val="tx1"/>
            </w14:solidFill>
          </w14:textFill>
        </w:rPr>
        <w:t>（</w:t>
      </w:r>
      <w:r>
        <w:rPr>
          <w:rFonts w:hint="eastAsia" w:ascii="宋体" w:hAnsi="宋体" w:cs="Arial"/>
          <w:color w:val="000000" w:themeColor="text1"/>
          <w:sz w:val="24"/>
          <w14:textFill>
            <w14:solidFill>
              <w14:schemeClr w14:val="tx1"/>
            </w14:solidFill>
          </w14:textFill>
        </w:rPr>
        <w:t>电话</w:t>
      </w:r>
      <w:r>
        <w:rPr>
          <w:rFonts w:ascii="宋体" w:hAnsi="宋体" w:cs="Arial"/>
          <w:color w:val="000000" w:themeColor="text1"/>
          <w:sz w:val="24"/>
          <w14:textFill>
            <w14:solidFill>
              <w14:schemeClr w14:val="tx1"/>
            </w14:solidFill>
          </w14:textFill>
        </w:rPr>
        <w:t>：0579-866</w:t>
      </w:r>
      <w:r>
        <w:rPr>
          <w:rFonts w:hint="eastAsia" w:ascii="宋体" w:hAnsi="宋体" w:cs="Arial"/>
          <w:color w:val="000000" w:themeColor="text1"/>
          <w:sz w:val="24"/>
          <w14:textFill>
            <w14:solidFill>
              <w14:schemeClr w14:val="tx1"/>
            </w14:solidFill>
          </w14:textFill>
        </w:rPr>
        <w:t>64725</w:t>
      </w:r>
      <w:r>
        <w:rPr>
          <w:rFonts w:ascii="宋体" w:hAnsi="宋体" w:cs="Arial"/>
          <w:color w:val="000000" w:themeColor="text1"/>
          <w:sz w:val="24"/>
          <w14:textFill>
            <w14:solidFill>
              <w14:schemeClr w14:val="tx1"/>
            </w14:solidFill>
          </w14:textFill>
        </w:rPr>
        <w:t>，邮箱：</w:t>
      </w:r>
      <w:r>
        <w:rPr>
          <w:rFonts w:hint="eastAsia" w:ascii="宋体" w:hAnsi="宋体" w:cs="Arial"/>
          <w:color w:val="000000" w:themeColor="text1"/>
          <w:sz w:val="24"/>
          <w14:textFill>
            <w14:solidFill>
              <w14:schemeClr w14:val="tx1"/>
            </w14:solidFill>
          </w14:textFill>
        </w:rPr>
        <w:t>953715462</w:t>
      </w:r>
      <w:r>
        <w:rPr>
          <w:rFonts w:ascii="宋体" w:hAnsi="宋体" w:cs="Arial"/>
          <w:color w:val="000000" w:themeColor="text1"/>
          <w:sz w:val="24"/>
          <w14:textFill>
            <w14:solidFill>
              <w14:schemeClr w14:val="tx1"/>
            </w14:solidFill>
          </w14:textFill>
        </w:rPr>
        <w:t>@qq.com）</w:t>
      </w:r>
    </w:p>
    <w:p>
      <w:pPr>
        <w:spacing w:line="400" w:lineRule="exact"/>
        <w:ind w:firstLine="482"/>
        <w:rPr>
          <w:rFonts w:ascii="宋体" w:hAnsi="宋体" w:cs="Arial"/>
          <w:b/>
          <w:bCs/>
          <w:color w:val="000000" w:themeColor="text1"/>
          <w:sz w:val="24"/>
          <w14:textFill>
            <w14:solidFill>
              <w14:schemeClr w14:val="tx1"/>
            </w14:solidFill>
          </w14:textFill>
        </w:rPr>
      </w:pPr>
      <w:r>
        <w:rPr>
          <w:rFonts w:ascii="宋体" w:hAnsi="宋体" w:cs="Arial"/>
          <w:b/>
          <w:bCs/>
          <w:color w:val="000000" w:themeColor="text1"/>
          <w:sz w:val="24"/>
          <w14:textFill>
            <w14:solidFill>
              <w14:schemeClr w14:val="tx1"/>
            </w14:solidFill>
          </w14:textFill>
        </w:rPr>
        <w:t>七、投标截止时间和地点：</w:t>
      </w:r>
    </w:p>
    <w:p>
      <w:pPr>
        <w:snapToGrid w:val="0"/>
        <w:spacing w:line="400" w:lineRule="exact"/>
        <w:ind w:firstLine="420"/>
        <w:rPr>
          <w:rFonts w:ascii="宋体" w:hAnsi="宋体" w:cs="Arial"/>
          <w:sz w:val="24"/>
        </w:rPr>
      </w:pPr>
      <w:r>
        <w:rPr>
          <w:rFonts w:ascii="宋体" w:hAnsi="宋体" w:cs="Arial"/>
          <w:color w:val="000000" w:themeColor="text1"/>
          <w:sz w:val="24"/>
          <w14:textFill>
            <w14:solidFill>
              <w14:schemeClr w14:val="tx1"/>
            </w14:solidFill>
          </w14:textFill>
        </w:rPr>
        <w:t>投标截止时间为：</w:t>
      </w:r>
      <w:r>
        <w:rPr>
          <w:rFonts w:ascii="宋体" w:hAnsi="宋体" w:cs="Arial"/>
          <w:sz w:val="24"/>
        </w:rPr>
        <w:t>2021年</w:t>
      </w:r>
      <w:r>
        <w:rPr>
          <w:rFonts w:hint="eastAsia" w:ascii="宋体" w:hAnsi="宋体" w:cs="Arial"/>
          <w:sz w:val="24"/>
        </w:rPr>
        <w:t>9月30日9</w:t>
      </w:r>
      <w:r>
        <w:rPr>
          <w:rFonts w:ascii="宋体" w:hAnsi="宋体" w:cs="Arial"/>
          <w:sz w:val="24"/>
        </w:rPr>
        <w:t>时3</w:t>
      </w:r>
      <w:r>
        <w:rPr>
          <w:rFonts w:hint="eastAsia" w:ascii="宋体" w:hAnsi="宋体" w:cs="Arial"/>
          <w:sz w:val="24"/>
        </w:rPr>
        <w:t>0</w:t>
      </w:r>
      <w:r>
        <w:rPr>
          <w:rFonts w:ascii="宋体" w:hAnsi="宋体" w:cs="Arial"/>
          <w:sz w:val="24"/>
        </w:rPr>
        <w:t xml:space="preserve">分前； </w:t>
      </w:r>
    </w:p>
    <w:p>
      <w:pPr>
        <w:snapToGrid w:val="0"/>
        <w:spacing w:line="400" w:lineRule="exact"/>
        <w:ind w:firstLine="420"/>
        <w:rPr>
          <w:rFonts w:ascii="宋体" w:hAnsi="宋体" w:cs="Arial"/>
          <w:sz w:val="24"/>
        </w:rPr>
      </w:pPr>
      <w:r>
        <w:rPr>
          <w:rFonts w:ascii="宋体" w:hAnsi="宋体" w:cs="Arial"/>
          <w:sz w:val="24"/>
        </w:rPr>
        <w:t>开标</w:t>
      </w:r>
      <w:r>
        <w:rPr>
          <w:rFonts w:hint="eastAsia" w:ascii="宋体" w:hAnsi="宋体" w:cs="Arial"/>
          <w:sz w:val="24"/>
        </w:rPr>
        <w:t>地址</w:t>
      </w:r>
      <w:r>
        <w:rPr>
          <w:rFonts w:ascii="宋体" w:hAnsi="宋体" w:cs="Arial"/>
          <w:sz w:val="24"/>
        </w:rPr>
        <w:t>，浙江广厦建设职业技术大学综合楼603开标室。</w:t>
      </w:r>
    </w:p>
    <w:p>
      <w:pPr>
        <w:snapToGrid w:val="0"/>
        <w:spacing w:line="400" w:lineRule="exact"/>
        <w:ind w:firstLine="540"/>
        <w:rPr>
          <w:rFonts w:ascii="宋体" w:hAnsi="宋体" w:cs="Arial"/>
          <w:b/>
          <w:bCs/>
          <w:sz w:val="24"/>
        </w:rPr>
      </w:pPr>
      <w:r>
        <w:rPr>
          <w:rFonts w:ascii="宋体" w:hAnsi="宋体" w:cs="宋体"/>
          <w:sz w:val="24"/>
        </w:rPr>
        <w:t>▲</w:t>
      </w:r>
      <w:r>
        <w:rPr>
          <w:rFonts w:ascii="宋体" w:hAnsi="宋体" w:cs="Arial"/>
          <w:b/>
          <w:bCs/>
          <w:sz w:val="24"/>
        </w:rPr>
        <w:t>八、开标时间及地点：</w:t>
      </w:r>
    </w:p>
    <w:p>
      <w:pPr>
        <w:snapToGrid w:val="0"/>
        <w:spacing w:line="400" w:lineRule="exact"/>
        <w:ind w:firstLine="420"/>
        <w:rPr>
          <w:rFonts w:ascii="宋体" w:hAnsi="宋体" w:cs="Arial"/>
          <w:sz w:val="24"/>
        </w:rPr>
      </w:pPr>
      <w:r>
        <w:rPr>
          <w:rFonts w:ascii="宋体" w:hAnsi="宋体" w:cs="Arial"/>
          <w:sz w:val="24"/>
        </w:rPr>
        <w:t>开标时间为：2021年</w:t>
      </w:r>
      <w:r>
        <w:rPr>
          <w:rFonts w:hint="eastAsia" w:ascii="宋体" w:hAnsi="宋体" w:cs="Arial"/>
          <w:sz w:val="24"/>
        </w:rPr>
        <w:t>9月30日9</w:t>
      </w:r>
      <w:r>
        <w:rPr>
          <w:rFonts w:ascii="宋体" w:hAnsi="宋体" w:cs="Arial"/>
          <w:sz w:val="24"/>
        </w:rPr>
        <w:t>时3</w:t>
      </w:r>
      <w:r>
        <w:rPr>
          <w:rFonts w:hint="eastAsia" w:ascii="宋体" w:hAnsi="宋体" w:cs="Arial"/>
          <w:sz w:val="24"/>
        </w:rPr>
        <w:t>0</w:t>
      </w:r>
      <w:r>
        <w:rPr>
          <w:rFonts w:ascii="宋体" w:hAnsi="宋体" w:cs="Arial"/>
          <w:sz w:val="24"/>
        </w:rPr>
        <w:t xml:space="preserve">分； </w:t>
      </w:r>
    </w:p>
    <w:p>
      <w:pPr>
        <w:snapToGrid w:val="0"/>
        <w:spacing w:line="420" w:lineRule="exact"/>
        <w:ind w:firstLine="420"/>
        <w:rPr>
          <w:rStyle w:val="23"/>
          <w:rFonts w:ascii="仿宋_GB2312" w:hAnsi="宋体" w:eastAsia="仿宋_GB2312" w:cs="仿宋_GB2312"/>
          <w:color w:val="222222"/>
        </w:rPr>
      </w:pPr>
      <w:r>
        <w:rPr>
          <w:rFonts w:hint="eastAsia" w:ascii="宋体" w:hAnsi="宋体" w:cs="Arial"/>
          <w:sz w:val="24"/>
        </w:rPr>
        <w:t>本项目采用不见面开标的形式开标，投标人自行下载钉钉，在开标截止时间前1小时内，加群并开启钉钉视频直播，对开标现场情况进行全程直播。</w:t>
      </w:r>
    </w:p>
    <w:p>
      <w:pPr>
        <w:spacing w:line="400" w:lineRule="exact"/>
        <w:ind w:firstLine="241" w:firstLineChars="100"/>
        <w:rPr>
          <w:rFonts w:ascii="宋体" w:hAnsi="宋体" w:cs="Arial"/>
          <w:b/>
          <w:bCs/>
          <w:color w:val="000000" w:themeColor="text1"/>
          <w:sz w:val="24"/>
          <w14:textFill>
            <w14:solidFill>
              <w14:schemeClr w14:val="tx1"/>
            </w14:solidFill>
          </w14:textFill>
        </w:rPr>
      </w:pPr>
      <w:r>
        <w:rPr>
          <w:rFonts w:hint="eastAsia" w:ascii="宋体" w:hAnsi="宋体" w:cs="Arial"/>
          <w:b/>
          <w:bCs/>
          <w:color w:val="000000" w:themeColor="text1"/>
          <w:sz w:val="24"/>
          <w14:textFill>
            <w14:solidFill>
              <w14:schemeClr w14:val="tx1"/>
            </w14:solidFill>
          </w14:textFill>
        </w:rPr>
        <w:t>九、</w:t>
      </w:r>
      <w:r>
        <w:rPr>
          <w:rFonts w:ascii="宋体" w:hAnsi="宋体" w:cs="Arial"/>
          <w:b/>
          <w:bCs/>
          <w:color w:val="000000" w:themeColor="text1"/>
          <w:sz w:val="24"/>
          <w14:textFill>
            <w14:solidFill>
              <w14:schemeClr w14:val="tx1"/>
            </w14:solidFill>
          </w14:textFill>
        </w:rPr>
        <w:t>其他事项：</w:t>
      </w:r>
    </w:p>
    <w:p>
      <w:pPr>
        <w:snapToGrid w:val="0"/>
        <w:spacing w:line="400" w:lineRule="exact"/>
        <w:ind w:firstLine="42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为确保招投标活动的公开、公平、公正，切实维护各方合法权益，凡在招标投标、开标评标过程中，受到敲诈、勒索或发现围标串标、虚假投标、恶意竞标等涉黑涉恶线索者，请及时保留相关证据并向有关部门举报。</w:t>
      </w:r>
    </w:p>
    <w:p>
      <w:pPr>
        <w:snapToGrid w:val="0"/>
        <w:spacing w:line="400" w:lineRule="exact"/>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举报电话：</w:t>
      </w:r>
    </w:p>
    <w:p>
      <w:pPr>
        <w:snapToGrid w:val="0"/>
        <w:spacing w:line="400" w:lineRule="exact"/>
        <w:ind w:firstLine="36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市扫黑办：0579-86655381               市公安局：110、0579-86096000</w:t>
      </w:r>
    </w:p>
    <w:p>
      <w:pPr>
        <w:snapToGrid w:val="0"/>
        <w:spacing w:line="400" w:lineRule="exact"/>
        <w:ind w:firstLine="36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市检察院: 0579-86642000               市 法 院：0579-86620148</w:t>
      </w:r>
    </w:p>
    <w:p>
      <w:pPr>
        <w:snapToGrid w:val="0"/>
        <w:spacing w:line="400" w:lineRule="exact"/>
        <w:ind w:firstLine="36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市公共资源办:0579-86691835            市公共资源交易中心:0579-86691729</w:t>
      </w:r>
    </w:p>
    <w:p>
      <w:pPr>
        <w:snapToGrid w:val="0"/>
        <w:spacing w:line="400" w:lineRule="exact"/>
        <w:ind w:firstLine="542"/>
        <w:rPr>
          <w:rFonts w:ascii="宋体" w:hAnsi="宋体" w:cs="Arial"/>
          <w:b/>
          <w:bCs/>
          <w:color w:val="000000" w:themeColor="text1"/>
          <w:sz w:val="24"/>
          <w14:textFill>
            <w14:solidFill>
              <w14:schemeClr w14:val="tx1"/>
            </w14:solidFill>
          </w14:textFill>
        </w:rPr>
      </w:pPr>
      <w:r>
        <w:rPr>
          <w:rFonts w:ascii="宋体" w:hAnsi="宋体" w:cs="Arial"/>
          <w:b/>
          <w:bCs/>
          <w:color w:val="000000" w:themeColor="text1"/>
          <w:sz w:val="24"/>
          <w14:textFill>
            <w14:solidFill>
              <w14:schemeClr w14:val="tx1"/>
            </w14:solidFill>
          </w14:textFill>
        </w:rPr>
        <w:t>十、业务咨询：</w:t>
      </w:r>
    </w:p>
    <w:p>
      <w:pPr>
        <w:snapToGrid w:val="0"/>
        <w:spacing w:line="400" w:lineRule="exact"/>
        <w:ind w:firstLine="420"/>
        <w:rPr>
          <w:rFonts w:ascii="宋体" w:hAnsi="宋体" w:cs="Arial"/>
          <w:color w:val="000000" w:themeColor="text1"/>
          <w:sz w:val="24"/>
          <w14:textFill>
            <w14:solidFill>
              <w14:schemeClr w14:val="tx1"/>
            </w14:solidFill>
          </w14:textFill>
        </w:rPr>
      </w:pPr>
      <w:r>
        <w:rPr>
          <w:rFonts w:ascii="宋体" w:hAnsi="宋体" w:cs="Arial"/>
          <w:color w:val="000000" w:themeColor="text1"/>
          <w:sz w:val="24"/>
          <w14:textFill>
            <w14:solidFill>
              <w14:schemeClr w14:val="tx1"/>
            </w14:solidFill>
          </w14:textFill>
        </w:rPr>
        <w:t>浙江广厦建设职业技术大学          联系人：</w:t>
      </w:r>
      <w:r>
        <w:rPr>
          <w:rFonts w:hint="eastAsia" w:ascii="宋体" w:hAnsi="宋体" w:cs="Arial"/>
          <w:color w:val="000000" w:themeColor="text1"/>
          <w:sz w:val="24"/>
          <w14:textFill>
            <w14:solidFill>
              <w14:schemeClr w14:val="tx1"/>
            </w14:solidFill>
          </w14:textFill>
        </w:rPr>
        <w:t>林</w:t>
      </w:r>
      <w:r>
        <w:rPr>
          <w:rFonts w:ascii="宋体" w:hAnsi="宋体" w:cs="Arial"/>
          <w:color w:val="000000" w:themeColor="text1"/>
          <w:sz w:val="24"/>
          <w14:textFill>
            <w14:solidFill>
              <w14:schemeClr w14:val="tx1"/>
            </w14:solidFill>
          </w14:textFill>
        </w:rPr>
        <w:t xml:space="preserve">老师     </w:t>
      </w:r>
    </w:p>
    <w:p>
      <w:pPr>
        <w:snapToGrid w:val="0"/>
        <w:spacing w:line="400" w:lineRule="exact"/>
        <w:ind w:firstLine="420"/>
        <w:rPr>
          <w:rFonts w:ascii="宋体" w:hAnsi="宋体" w:cs="宋体"/>
          <w:color w:val="000000" w:themeColor="text1"/>
          <w:sz w:val="28"/>
          <w:szCs w:val="28"/>
          <w14:textFill>
            <w14:solidFill>
              <w14:schemeClr w14:val="tx1"/>
            </w14:solidFill>
          </w14:textFill>
        </w:rPr>
      </w:pPr>
      <w:r>
        <w:rPr>
          <w:rFonts w:ascii="宋体" w:hAnsi="宋体" w:cs="Arial"/>
          <w:color w:val="000000" w:themeColor="text1"/>
          <w:sz w:val="24"/>
          <w14:textFill>
            <w14:solidFill>
              <w14:schemeClr w14:val="tx1"/>
            </w14:solidFill>
          </w14:textFill>
        </w:rPr>
        <w:t>联系电话：</w:t>
      </w:r>
      <w:r>
        <w:rPr>
          <w:rFonts w:ascii="宋体" w:hAnsi="宋体" w:cs="宋体"/>
          <w:color w:val="000000" w:themeColor="text1"/>
          <w:sz w:val="28"/>
          <w:szCs w:val="28"/>
          <w14:textFill>
            <w14:solidFill>
              <w14:schemeClr w14:val="tx1"/>
            </w14:solidFill>
          </w14:textFill>
        </w:rPr>
        <w:t>0579-866</w:t>
      </w:r>
      <w:r>
        <w:rPr>
          <w:rFonts w:hint="eastAsia" w:ascii="宋体" w:hAnsi="宋体" w:cs="宋体"/>
          <w:color w:val="000000" w:themeColor="text1"/>
          <w:sz w:val="28"/>
          <w:szCs w:val="28"/>
          <w14:textFill>
            <w14:solidFill>
              <w14:schemeClr w14:val="tx1"/>
            </w14:solidFill>
          </w14:textFill>
        </w:rPr>
        <w:t>64725</w:t>
      </w:r>
    </w:p>
    <w:p>
      <w:pPr>
        <w:pStyle w:val="19"/>
        <w:spacing w:line="400" w:lineRule="exact"/>
        <w:ind w:firstLine="210"/>
        <w:rPr>
          <w:color w:val="000000" w:themeColor="text1"/>
          <w14:textFill>
            <w14:solidFill>
              <w14:schemeClr w14:val="tx1"/>
            </w14:solidFill>
          </w14:textFill>
        </w:rPr>
      </w:pPr>
    </w:p>
    <w:p>
      <w:pPr>
        <w:pStyle w:val="16"/>
        <w:rPr>
          <w:color w:val="000000" w:themeColor="text1"/>
          <w14:textFill>
            <w14:solidFill>
              <w14:schemeClr w14:val="tx1"/>
            </w14:solidFill>
          </w14:textFill>
        </w:rPr>
      </w:pPr>
    </w:p>
    <w:p>
      <w:r>
        <w:rPr>
          <w:rFonts w:hint="eastAsia"/>
        </w:rPr>
        <w:t xml:space="preserve">  </w:t>
      </w:r>
    </w:p>
    <w:p>
      <w:pPr>
        <w:snapToGrid w:val="0"/>
        <w:spacing w:line="400" w:lineRule="exact"/>
        <w:ind w:left="238"/>
        <w:jc w:val="center"/>
        <w:rPr>
          <w:rFonts w:ascii="宋体" w:hAnsi="宋体" w:cs="宋体"/>
          <w:b/>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w:t>
      </w:r>
      <w:r>
        <w:rPr>
          <w:rFonts w:ascii="宋体" w:hAnsi="宋体" w:cs="宋体"/>
          <w:b/>
          <w:color w:val="000000" w:themeColor="text1"/>
          <w:sz w:val="24"/>
          <w14:textFill>
            <w14:solidFill>
              <w14:schemeClr w14:val="tx1"/>
            </w14:solidFill>
          </w14:textFill>
        </w:rPr>
        <w:t>浙江广厦建设职业技术大学</w:t>
      </w:r>
    </w:p>
    <w:p>
      <w:pPr>
        <w:snapToGrid w:val="0"/>
        <w:spacing w:line="400" w:lineRule="exact"/>
        <w:ind w:firstLine="42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w:t>
      </w:r>
      <w:r>
        <w:rPr>
          <w:rFonts w:ascii="宋体" w:hAnsi="宋体" w:cs="宋体"/>
          <w:b/>
          <w:color w:val="000000" w:themeColor="text1"/>
          <w:sz w:val="24"/>
          <w14:textFill>
            <w14:solidFill>
              <w14:schemeClr w14:val="tx1"/>
            </w14:solidFill>
          </w14:textFill>
        </w:rPr>
        <w:t>2021年</w:t>
      </w:r>
      <w:r>
        <w:rPr>
          <w:rFonts w:hint="eastAsia" w:ascii="宋体" w:hAnsi="宋体" w:cs="宋体"/>
          <w:b/>
          <w:color w:val="000000" w:themeColor="text1"/>
          <w:sz w:val="24"/>
          <w14:textFill>
            <w14:solidFill>
              <w14:schemeClr w14:val="tx1"/>
            </w14:solidFill>
          </w14:textFill>
        </w:rPr>
        <w:t>9月25日</w:t>
      </w:r>
    </w:p>
    <w:p>
      <w:pPr>
        <w:rPr>
          <w:rFonts w:ascii="黑体" w:hAnsi="黑体" w:eastAsia="黑体"/>
          <w:color w:val="000000" w:themeColor="text1"/>
          <w:sz w:val="28"/>
          <w:szCs w:val="28"/>
          <w14:textFill>
            <w14:solidFill>
              <w14:schemeClr w14:val="tx1"/>
            </w14:solidFill>
          </w14:textFill>
        </w:rPr>
      </w:pPr>
    </w:p>
    <w:p>
      <w:pPr>
        <w:pageBreakBefore/>
        <w:rPr>
          <w:rFonts w:ascii="黑体" w:hAnsi="黑体" w:eastAsia="黑体"/>
          <w:color w:val="000000" w:themeColor="text1"/>
          <w:sz w:val="28"/>
          <w:szCs w:val="28"/>
          <w14:textFill>
            <w14:solidFill>
              <w14:schemeClr w14:val="tx1"/>
            </w14:solidFill>
          </w14:textFill>
        </w:rPr>
      </w:pPr>
      <w:r>
        <w:rPr>
          <w:rFonts w:ascii="黑体" w:hAnsi="黑体" w:eastAsia="黑体"/>
          <w:color w:val="000000" w:themeColor="text1"/>
          <w:sz w:val="28"/>
          <w:szCs w:val="28"/>
          <w14:textFill>
            <w14:solidFill>
              <w14:schemeClr w14:val="tx1"/>
            </w14:solidFill>
          </w14:textFill>
        </w:rPr>
        <w:t xml:space="preserve">附：                   </w:t>
      </w:r>
    </w:p>
    <w:p>
      <w:pPr>
        <w:jc w:val="center"/>
        <w:rPr>
          <w:rFonts w:ascii="宋体" w:hAnsi="宋体" w:cs="宋体"/>
          <w:b/>
          <w:color w:val="000000" w:themeColor="text1"/>
          <w:sz w:val="48"/>
          <w:szCs w:val="48"/>
          <w14:textFill>
            <w14:solidFill>
              <w14:schemeClr w14:val="tx1"/>
            </w14:solidFill>
          </w14:textFill>
        </w:rPr>
      </w:pPr>
      <w:r>
        <w:rPr>
          <w:rFonts w:hint="eastAsia" w:ascii="宋体" w:hAnsi="宋体" w:cs="宋体"/>
          <w:b/>
          <w:sz w:val="36"/>
          <w:szCs w:val="36"/>
        </w:rPr>
        <w:t>谈 判 响 应 确 认 函</w:t>
      </w:r>
    </w:p>
    <w:p>
      <w:pPr>
        <w:spacing w:line="500" w:lineRule="exact"/>
        <w:rPr>
          <w:rFonts w:ascii="宋体" w:hAnsi="宋体" w:cs="宋体"/>
          <w:sz w:val="28"/>
          <w:szCs w:val="28"/>
        </w:rPr>
      </w:pPr>
      <w:r>
        <w:rPr>
          <w:rFonts w:hint="eastAsia" w:ascii="宋体" w:hAnsi="宋体" w:cs="宋体"/>
          <w:bCs/>
          <w:color w:val="000000" w:themeColor="text1"/>
          <w:sz w:val="28"/>
          <w:szCs w:val="28"/>
          <w:u w:val="single"/>
          <w14:textFill>
            <w14:solidFill>
              <w14:schemeClr w14:val="tx1"/>
            </w14:solidFill>
          </w14:textFill>
        </w:rPr>
        <w:t>浙江广厦建设职业技术大学</w:t>
      </w:r>
      <w:r>
        <w:rPr>
          <w:rFonts w:ascii="宋体" w:hAnsi="宋体" w:cs="宋体"/>
          <w:bCs/>
          <w:color w:val="000000" w:themeColor="text1"/>
          <w:sz w:val="28"/>
          <w:szCs w:val="28"/>
          <w:u w:val="single"/>
          <w14:textFill>
            <w14:solidFill>
              <w14:schemeClr w14:val="tx1"/>
            </w14:solidFill>
          </w14:textFill>
        </w:rPr>
        <w:t>：</w:t>
      </w:r>
    </w:p>
    <w:p>
      <w:pPr>
        <w:spacing w:line="700" w:lineRule="exact"/>
        <w:ind w:firstLine="573"/>
        <w:rPr>
          <w:rFonts w:ascii="宋体" w:hAnsi="宋体" w:cs="宋体"/>
          <w:sz w:val="28"/>
          <w:szCs w:val="28"/>
        </w:rPr>
      </w:pPr>
      <w:r>
        <w:rPr>
          <w:rFonts w:hint="eastAsia" w:ascii="宋体" w:hAnsi="宋体" w:cs="宋体"/>
          <w:sz w:val="28"/>
          <w:szCs w:val="28"/>
        </w:rPr>
        <w:t>关于贵方2021年9月28日发布的浙江广厦建设职业技术大学移动式垃圾压缩机竞争性谈判公告，本单位愿意参加该项目的谈判。现予以确认！</w:t>
      </w:r>
    </w:p>
    <w:p>
      <w:pPr>
        <w:spacing w:line="500" w:lineRule="exact"/>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报名标项：</w:t>
      </w:r>
      <w:r>
        <w:rPr>
          <w:rFonts w:ascii="宋体" w:hAnsi="宋体" w:cs="宋体"/>
          <w:color w:val="000000" w:themeColor="text1"/>
          <w:sz w:val="28"/>
          <w:szCs w:val="28"/>
          <w:u w:val="single"/>
          <w14:textFill>
            <w14:solidFill>
              <w14:schemeClr w14:val="tx1"/>
            </w14:solidFill>
          </w14:textFill>
        </w:rPr>
        <w:t xml:space="preserve">                                   </w:t>
      </w:r>
    </w:p>
    <w:p>
      <w:pPr>
        <w:spacing w:line="500" w:lineRule="exact"/>
        <w:rPr>
          <w:rFonts w:ascii="宋体" w:hAnsi="宋体" w:cs="宋体"/>
          <w:color w:val="000000" w:themeColor="text1"/>
          <w:sz w:val="28"/>
          <w:szCs w:val="28"/>
          <w14:textFill>
            <w14:solidFill>
              <w14:schemeClr w14:val="tx1"/>
            </w14:solidFill>
          </w14:textFill>
        </w:rPr>
      </w:pPr>
    </w:p>
    <w:p>
      <w:pPr>
        <w:spacing w:line="500" w:lineRule="exact"/>
        <w:rPr>
          <w:rFonts w:ascii="宋体" w:hAnsi="宋体" w:cs="宋体"/>
          <w:color w:val="000000" w:themeColor="text1"/>
          <w:sz w:val="28"/>
          <w:szCs w:val="28"/>
          <w:u w:val="single"/>
          <w14:textFill>
            <w14:solidFill>
              <w14:schemeClr w14:val="tx1"/>
            </w14:solidFill>
          </w14:textFill>
        </w:rPr>
      </w:pPr>
      <w:r>
        <w:rPr>
          <w:rFonts w:ascii="宋体" w:hAnsi="宋体" w:cs="宋体"/>
          <w:color w:val="000000" w:themeColor="text1"/>
          <w:sz w:val="28"/>
          <w:szCs w:val="28"/>
          <w14:textFill>
            <w14:solidFill>
              <w14:schemeClr w14:val="tx1"/>
            </w14:solidFill>
          </w14:textFill>
        </w:rPr>
        <w:t>单位名称（公章）：</w:t>
      </w:r>
      <w:r>
        <w:rPr>
          <w:rFonts w:ascii="宋体" w:hAnsi="宋体" w:cs="宋体"/>
          <w:color w:val="000000" w:themeColor="text1"/>
          <w:sz w:val="28"/>
          <w:szCs w:val="28"/>
          <w:u w:val="single"/>
          <w14:textFill>
            <w14:solidFill>
              <w14:schemeClr w14:val="tx1"/>
            </w14:solidFill>
          </w14:textFill>
        </w:rPr>
        <w:t xml:space="preserve">                                            </w:t>
      </w:r>
    </w:p>
    <w:p>
      <w:pPr>
        <w:spacing w:line="500" w:lineRule="exact"/>
        <w:rPr>
          <w:rFonts w:ascii="宋体" w:hAnsi="宋体" w:cs="宋体"/>
          <w:color w:val="000000" w:themeColor="text1"/>
          <w:sz w:val="28"/>
          <w:szCs w:val="28"/>
          <w:u w:val="single"/>
          <w14:textFill>
            <w14:solidFill>
              <w14:schemeClr w14:val="tx1"/>
            </w14:solidFill>
          </w14:textFill>
        </w:rPr>
      </w:pPr>
    </w:p>
    <w:p>
      <w:pPr>
        <w:spacing w:line="500" w:lineRule="exact"/>
        <w:rPr>
          <w:rFonts w:ascii="宋体" w:hAnsi="宋体" w:cs="宋体"/>
          <w:color w:val="000000" w:themeColor="text1"/>
          <w:sz w:val="28"/>
          <w:szCs w:val="28"/>
          <w:u w:val="single"/>
          <w14:textFill>
            <w14:solidFill>
              <w14:schemeClr w14:val="tx1"/>
            </w14:solidFill>
          </w14:textFill>
        </w:rPr>
      </w:pPr>
      <w:r>
        <w:rPr>
          <w:rFonts w:ascii="宋体" w:hAnsi="宋体" w:cs="宋体"/>
          <w:color w:val="000000" w:themeColor="text1"/>
          <w:sz w:val="28"/>
          <w:szCs w:val="28"/>
          <w14:textFill>
            <w14:solidFill>
              <w14:schemeClr w14:val="tx1"/>
            </w14:solidFill>
          </w14:textFill>
        </w:rPr>
        <w:t>法定代表人或授权代表（签章）：</w:t>
      </w:r>
      <w:r>
        <w:rPr>
          <w:rFonts w:ascii="宋体" w:hAnsi="宋体" w:cs="宋体"/>
          <w:color w:val="000000" w:themeColor="text1"/>
          <w:sz w:val="28"/>
          <w:szCs w:val="28"/>
          <w:u w:val="single"/>
          <w14:textFill>
            <w14:solidFill>
              <w14:schemeClr w14:val="tx1"/>
            </w14:solidFill>
          </w14:textFill>
        </w:rPr>
        <w:t xml:space="preserve">                                  </w:t>
      </w:r>
    </w:p>
    <w:p>
      <w:pPr>
        <w:spacing w:line="500" w:lineRule="exact"/>
        <w:rPr>
          <w:rFonts w:ascii="宋体" w:hAnsi="宋体" w:cs="宋体"/>
          <w:color w:val="000000" w:themeColor="text1"/>
          <w:sz w:val="28"/>
          <w:szCs w:val="28"/>
          <w:u w:val="single"/>
          <w14:textFill>
            <w14:solidFill>
              <w14:schemeClr w14:val="tx1"/>
            </w14:solidFill>
          </w14:textFill>
        </w:rPr>
      </w:pPr>
    </w:p>
    <w:p>
      <w:pPr>
        <w:spacing w:line="500" w:lineRule="exact"/>
        <w:rPr>
          <w:rFonts w:ascii="宋体" w:hAnsi="宋体" w:cs="宋体"/>
          <w:color w:val="000000" w:themeColor="text1"/>
          <w:sz w:val="28"/>
          <w:szCs w:val="28"/>
          <w:u w:val="single"/>
          <w14:textFill>
            <w14:solidFill>
              <w14:schemeClr w14:val="tx1"/>
            </w14:solidFill>
          </w14:textFill>
        </w:rPr>
      </w:pPr>
      <w:r>
        <w:rPr>
          <w:rFonts w:ascii="宋体" w:hAnsi="宋体" w:cs="宋体"/>
          <w:color w:val="000000" w:themeColor="text1"/>
          <w:sz w:val="28"/>
          <w:szCs w:val="28"/>
          <w:u w:val="single"/>
          <w14:textFill>
            <w14:solidFill>
              <w14:schemeClr w14:val="tx1"/>
            </w14:solidFill>
          </w14:textFill>
        </w:rPr>
        <w:t xml:space="preserve">                                 </w:t>
      </w:r>
    </w:p>
    <w:p>
      <w:pPr>
        <w:spacing w:line="500" w:lineRule="exact"/>
        <w:rPr>
          <w:rFonts w:ascii="宋体" w:hAnsi="宋体" w:cs="宋体"/>
          <w:color w:val="000000" w:themeColor="text1"/>
          <w:sz w:val="28"/>
          <w:szCs w:val="28"/>
          <w:u w:val="single"/>
          <w14:textFill>
            <w14:solidFill>
              <w14:schemeClr w14:val="tx1"/>
            </w14:solidFill>
          </w14:textFill>
        </w:rPr>
      </w:pPr>
    </w:p>
    <w:p>
      <w:pPr>
        <w:spacing w:line="500" w:lineRule="exact"/>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电  话：</w:t>
      </w:r>
      <w:r>
        <w:rPr>
          <w:rFonts w:ascii="宋体" w:hAnsi="宋体" w:cs="宋体"/>
          <w:color w:val="000000" w:themeColor="text1"/>
          <w:sz w:val="28"/>
          <w:szCs w:val="28"/>
          <w:u w:val="single"/>
          <w14:textFill>
            <w14:solidFill>
              <w14:schemeClr w14:val="tx1"/>
            </w14:solidFill>
          </w14:textFill>
        </w:rPr>
        <w:t xml:space="preserve">                       </w:t>
      </w:r>
      <w:r>
        <w:rPr>
          <w:rFonts w:ascii="宋体" w:hAnsi="宋体" w:cs="宋体"/>
          <w:color w:val="000000" w:themeColor="text1"/>
          <w:sz w:val="28"/>
          <w:szCs w:val="28"/>
          <w14:textFill>
            <w14:solidFill>
              <w14:schemeClr w14:val="tx1"/>
            </w14:solidFill>
          </w14:textFill>
        </w:rPr>
        <w:t>邮  编：</w:t>
      </w:r>
      <w:r>
        <w:rPr>
          <w:rFonts w:hint="eastAsia" w:ascii="宋体" w:hAnsi="宋体" w:cs="宋体"/>
          <w:color w:val="000000" w:themeColor="text1"/>
          <w:sz w:val="28"/>
          <w:szCs w:val="28"/>
          <w:u w:val="single"/>
          <w14:textFill>
            <w14:solidFill>
              <w14:schemeClr w14:val="tx1"/>
            </w14:solidFill>
          </w14:textFill>
        </w:rPr>
        <w:t xml:space="preserve">     </w:t>
      </w:r>
      <w:r>
        <w:rPr>
          <w:rFonts w:ascii="宋体" w:hAnsi="宋体" w:cs="宋体"/>
          <w:color w:val="000000" w:themeColor="text1"/>
          <w:sz w:val="28"/>
          <w:szCs w:val="28"/>
          <w:u w:val="single"/>
          <w14:textFill>
            <w14:solidFill>
              <w14:schemeClr w14:val="tx1"/>
            </w14:solidFill>
          </w14:textFill>
        </w:rPr>
        <w:t xml:space="preserve">                     </w:t>
      </w:r>
      <w:r>
        <w:rPr>
          <w:rFonts w:ascii="宋体" w:hAnsi="宋体" w:cs="宋体"/>
          <w:color w:val="000000" w:themeColor="text1"/>
          <w:sz w:val="28"/>
          <w:szCs w:val="28"/>
          <w14:textFill>
            <w14:solidFill>
              <w14:schemeClr w14:val="tx1"/>
            </w14:solidFill>
          </w14:textFill>
        </w:rPr>
        <w:t xml:space="preserve">                       </w:t>
      </w:r>
      <w:r>
        <w:rPr>
          <w:rFonts w:ascii="宋体" w:hAnsi="宋体" w:cs="宋体"/>
          <w:color w:val="000000" w:themeColor="text1"/>
          <w:sz w:val="28"/>
          <w:szCs w:val="28"/>
          <w:u w:val="single"/>
          <w14:textFill>
            <w14:solidFill>
              <w14:schemeClr w14:val="tx1"/>
            </w14:solidFill>
          </w14:textFill>
        </w:rPr>
        <w:t xml:space="preserve"> </w:t>
      </w:r>
    </w:p>
    <w:p>
      <w:pPr>
        <w:spacing w:line="500" w:lineRule="exact"/>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 xml:space="preserve"> </w:t>
      </w:r>
    </w:p>
    <w:p>
      <w:pPr>
        <w:spacing w:line="500" w:lineRule="exact"/>
        <w:rPr>
          <w:rFonts w:ascii="宋体" w:hAnsi="宋体" w:cs="宋体"/>
          <w:color w:val="000000" w:themeColor="text1"/>
          <w:sz w:val="28"/>
          <w:szCs w:val="28"/>
          <w:u w:val="single"/>
          <w14:textFill>
            <w14:solidFill>
              <w14:schemeClr w14:val="tx1"/>
            </w14:solidFill>
          </w14:textFill>
        </w:rPr>
      </w:pPr>
      <w:r>
        <w:rPr>
          <w:rFonts w:ascii="宋体" w:hAnsi="宋体" w:cs="宋体"/>
          <w:color w:val="000000" w:themeColor="text1"/>
          <w:sz w:val="28"/>
          <w:szCs w:val="28"/>
          <w14:textFill>
            <w14:solidFill>
              <w14:schemeClr w14:val="tx1"/>
            </w14:solidFill>
          </w14:textFill>
        </w:rPr>
        <w:t>传  真：</w:t>
      </w:r>
      <w:r>
        <w:rPr>
          <w:rFonts w:ascii="宋体" w:hAnsi="宋体" w:cs="宋体"/>
          <w:color w:val="000000" w:themeColor="text1"/>
          <w:sz w:val="28"/>
          <w:szCs w:val="28"/>
          <w:u w:val="single"/>
          <w14:textFill>
            <w14:solidFill>
              <w14:schemeClr w14:val="tx1"/>
            </w14:solidFill>
          </w14:textFill>
        </w:rPr>
        <w:t xml:space="preserve">                       </w:t>
      </w:r>
      <w:r>
        <w:rPr>
          <w:rFonts w:ascii="宋体" w:hAnsi="宋体" w:cs="宋体"/>
          <w:color w:val="000000" w:themeColor="text1"/>
          <w:sz w:val="28"/>
          <w:szCs w:val="28"/>
          <w14:textFill>
            <w14:solidFill>
              <w14:schemeClr w14:val="tx1"/>
            </w14:solidFill>
          </w14:textFill>
        </w:rPr>
        <w:t>日  期：</w:t>
      </w:r>
      <w:r>
        <w:rPr>
          <w:rFonts w:ascii="宋体" w:hAnsi="宋体" w:cs="宋体"/>
          <w:color w:val="000000" w:themeColor="text1"/>
          <w:sz w:val="28"/>
          <w:szCs w:val="28"/>
          <w:u w:val="single"/>
          <w14:textFill>
            <w14:solidFill>
              <w14:schemeClr w14:val="tx1"/>
            </w14:solidFill>
          </w14:textFill>
        </w:rPr>
        <w:t xml:space="preserve">                     </w:t>
      </w:r>
    </w:p>
    <w:p>
      <w:pPr>
        <w:spacing w:line="500" w:lineRule="exact"/>
        <w:rPr>
          <w:rFonts w:ascii="宋体" w:hAnsi="宋体" w:cs="宋体"/>
          <w:color w:val="000000" w:themeColor="text1"/>
          <w:sz w:val="28"/>
          <w:szCs w:val="28"/>
          <w:u w:val="single"/>
          <w14:textFill>
            <w14:solidFill>
              <w14:schemeClr w14:val="tx1"/>
            </w14:solidFill>
          </w14:textFill>
        </w:rPr>
      </w:pPr>
    </w:p>
    <w:p>
      <w:pPr>
        <w:spacing w:line="500" w:lineRule="exact"/>
        <w:rPr>
          <w:rFonts w:ascii="宋体" w:hAnsi="宋体" w:cs="宋体"/>
          <w:color w:val="000000" w:themeColor="text1"/>
          <w:sz w:val="32"/>
          <w:u w:val="single"/>
          <w14:textFill>
            <w14:solidFill>
              <w14:schemeClr w14:val="tx1"/>
            </w14:solidFill>
          </w14:textFill>
        </w:rPr>
      </w:pPr>
      <w:r>
        <w:rPr>
          <w:rFonts w:ascii="宋体" w:hAnsi="宋体" w:cs="宋体"/>
          <w:color w:val="000000" w:themeColor="text1"/>
          <w:sz w:val="28"/>
          <w:szCs w:val="28"/>
          <w14:textFill>
            <w14:solidFill>
              <w14:schemeClr w14:val="tx1"/>
            </w14:solidFill>
          </w14:textFill>
        </w:rPr>
        <w:t>联系人：</w:t>
      </w:r>
      <w:r>
        <w:rPr>
          <w:rFonts w:ascii="宋体" w:hAnsi="宋体" w:cs="宋体"/>
          <w:color w:val="000000" w:themeColor="text1"/>
          <w:sz w:val="28"/>
          <w:szCs w:val="28"/>
          <w:u w:val="single"/>
          <w14:textFill>
            <w14:solidFill>
              <w14:schemeClr w14:val="tx1"/>
            </w14:solidFill>
          </w14:textFill>
        </w:rPr>
        <w:t xml:space="preserve">                       </w:t>
      </w:r>
      <w:r>
        <w:rPr>
          <w:rFonts w:ascii="宋体" w:hAnsi="宋体" w:cs="宋体"/>
          <w:color w:val="000000" w:themeColor="text1"/>
          <w:sz w:val="28"/>
          <w:szCs w:val="28"/>
          <w14:textFill>
            <w14:solidFill>
              <w14:schemeClr w14:val="tx1"/>
            </w14:solidFill>
          </w14:textFill>
        </w:rPr>
        <w:t>手机号码：</w:t>
      </w:r>
      <w:r>
        <w:rPr>
          <w:rFonts w:ascii="宋体" w:hAnsi="宋体" w:cs="宋体"/>
          <w:color w:val="000000" w:themeColor="text1"/>
          <w:sz w:val="28"/>
          <w:szCs w:val="28"/>
          <w:u w:val="single"/>
          <w14:textFill>
            <w14:solidFill>
              <w14:schemeClr w14:val="tx1"/>
            </w14:solidFill>
          </w14:textFill>
        </w:rPr>
        <w:t xml:space="preserve">                 </w:t>
      </w:r>
      <w:r>
        <w:rPr>
          <w:rFonts w:ascii="宋体" w:hAnsi="宋体" w:cs="宋体"/>
          <w:color w:val="000000" w:themeColor="text1"/>
          <w:sz w:val="32"/>
          <w:u w:val="single"/>
          <w14:textFill>
            <w14:solidFill>
              <w14:schemeClr w14:val="tx1"/>
            </w14:solidFill>
          </w14:textFill>
        </w:rPr>
        <w:t xml:space="preserve">   </w:t>
      </w:r>
    </w:p>
    <w:p>
      <w:pPr>
        <w:widowControl/>
        <w:spacing w:line="500" w:lineRule="exact"/>
        <w:jc w:val="left"/>
        <w:rPr>
          <w:rFonts w:ascii="宋体" w:hAnsi="宋体" w:cs="宋体"/>
          <w:color w:val="000000" w:themeColor="text1"/>
          <w:sz w:val="28"/>
          <w:szCs w:val="28"/>
          <w:u w:val="single"/>
          <w14:textFill>
            <w14:solidFill>
              <w14:schemeClr w14:val="tx1"/>
            </w14:solidFill>
          </w14:textFill>
        </w:rPr>
      </w:pPr>
    </w:p>
    <w:p>
      <w:pPr>
        <w:widowControl/>
        <w:spacing w:line="500" w:lineRule="exact"/>
        <w:jc w:val="left"/>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电子邮箱：</w:t>
      </w:r>
      <w:r>
        <w:rPr>
          <w:rFonts w:ascii="宋体" w:hAnsi="宋体" w:cs="宋体"/>
          <w:color w:val="000000" w:themeColor="text1"/>
          <w:sz w:val="28"/>
          <w:szCs w:val="28"/>
          <w:u w:val="single"/>
          <w14:textFill>
            <w14:solidFill>
              <w14:schemeClr w14:val="tx1"/>
            </w14:solidFill>
          </w14:textFill>
        </w:rPr>
        <w:t xml:space="preserve">                       </w:t>
      </w:r>
    </w:p>
    <w:p>
      <w:pPr>
        <w:widowControl/>
        <w:spacing w:line="192" w:lineRule="auto"/>
        <w:jc w:val="left"/>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注：此投标确认函</w:t>
      </w:r>
      <w:r>
        <w:rPr>
          <w:rFonts w:ascii="宋体" w:hAnsi="宋体" w:cs="宋体"/>
          <w:sz w:val="28"/>
          <w:szCs w:val="28"/>
        </w:rPr>
        <w:t>请于</w:t>
      </w:r>
      <w:r>
        <w:rPr>
          <w:rFonts w:hint="eastAsia" w:ascii="宋体" w:hAnsi="宋体" w:cs="宋体"/>
          <w:sz w:val="28"/>
          <w:szCs w:val="28"/>
        </w:rPr>
        <w:t>2021年9月29日16时00分</w:t>
      </w:r>
      <w:r>
        <w:rPr>
          <w:rFonts w:hint="eastAsia" w:ascii="宋体" w:hAnsi="宋体" w:cs="宋体"/>
          <w:color w:val="000000" w:themeColor="text1"/>
          <w:sz w:val="28"/>
          <w:szCs w:val="28"/>
          <w14:textFill>
            <w14:solidFill>
              <w14:schemeClr w14:val="tx1"/>
            </w14:solidFill>
          </w14:textFill>
        </w:rPr>
        <w:t>前</w:t>
      </w:r>
      <w:r>
        <w:rPr>
          <w:rFonts w:ascii="宋体" w:hAnsi="宋体" w:cs="宋体"/>
          <w:color w:val="000000" w:themeColor="text1"/>
          <w:sz w:val="28"/>
          <w:szCs w:val="28"/>
          <w14:textFill>
            <w14:solidFill>
              <w14:schemeClr w14:val="tx1"/>
            </w14:solidFill>
          </w14:textFill>
        </w:rPr>
        <w:t>通过邮箱方式</w:t>
      </w:r>
      <w:r>
        <w:rPr>
          <w:rFonts w:hint="eastAsia" w:ascii="宋体" w:hAnsi="宋体" w:cs="宋体"/>
          <w:color w:val="000000" w:themeColor="text1"/>
          <w:sz w:val="28"/>
          <w:szCs w:val="28"/>
          <w14:textFill>
            <w14:solidFill>
              <w14:schemeClr w14:val="tx1"/>
            </w14:solidFill>
          </w14:textFill>
        </w:rPr>
        <w:t>或</w:t>
      </w:r>
      <w:r>
        <w:rPr>
          <w:rFonts w:ascii="宋体" w:hAnsi="宋体" w:cs="宋体"/>
          <w:color w:val="000000" w:themeColor="text1"/>
          <w:sz w:val="28"/>
          <w:szCs w:val="28"/>
          <w14:textFill>
            <w14:solidFill>
              <w14:schemeClr w14:val="tx1"/>
            </w14:solidFill>
          </w14:textFill>
        </w:rPr>
        <w:t>送达</w:t>
      </w:r>
      <w:r>
        <w:rPr>
          <w:rFonts w:hint="eastAsia" w:ascii="宋体" w:hAnsi="宋体" w:cs="宋体"/>
          <w:color w:val="000000" w:themeColor="text1"/>
          <w:sz w:val="28"/>
          <w:szCs w:val="28"/>
          <w14:textFill>
            <w14:solidFill>
              <w14:schemeClr w14:val="tx1"/>
            </w14:solidFill>
          </w14:textFill>
        </w:rPr>
        <w:t>至浙江广厦建设职业技术大学213办公室</w:t>
      </w:r>
      <w:r>
        <w:rPr>
          <w:rFonts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电话</w:t>
      </w:r>
      <w:r>
        <w:rPr>
          <w:rFonts w:ascii="宋体" w:hAnsi="宋体" w:cs="宋体"/>
          <w:color w:val="000000" w:themeColor="text1"/>
          <w:sz w:val="28"/>
          <w:szCs w:val="28"/>
          <w14:textFill>
            <w14:solidFill>
              <w14:schemeClr w14:val="tx1"/>
            </w14:solidFill>
          </w14:textFill>
        </w:rPr>
        <w:t>：0579-866</w:t>
      </w:r>
      <w:r>
        <w:rPr>
          <w:rFonts w:hint="eastAsia" w:ascii="宋体" w:hAnsi="宋体" w:cs="宋体"/>
          <w:color w:val="000000" w:themeColor="text1"/>
          <w:sz w:val="28"/>
          <w:szCs w:val="28"/>
          <w14:textFill>
            <w14:solidFill>
              <w14:schemeClr w14:val="tx1"/>
            </w14:solidFill>
          </w14:textFill>
        </w:rPr>
        <w:t>64725</w:t>
      </w:r>
      <w:r>
        <w:rPr>
          <w:rFonts w:ascii="宋体" w:hAnsi="宋体" w:cs="宋体"/>
          <w:color w:val="000000" w:themeColor="text1"/>
          <w:sz w:val="28"/>
          <w:szCs w:val="28"/>
          <w14:textFill>
            <w14:solidFill>
              <w14:schemeClr w14:val="tx1"/>
            </w14:solidFill>
          </w14:textFill>
        </w:rPr>
        <w:t>，邮箱：</w:t>
      </w:r>
      <w:r>
        <w:rPr>
          <w:rFonts w:hint="eastAsia" w:ascii="宋体" w:hAnsi="宋体" w:cs="宋体"/>
          <w:color w:val="000000" w:themeColor="text1"/>
          <w:sz w:val="28"/>
          <w:szCs w:val="28"/>
          <w14:textFill>
            <w14:solidFill>
              <w14:schemeClr w14:val="tx1"/>
            </w14:solidFill>
          </w14:textFill>
        </w:rPr>
        <w:t>953715462</w:t>
      </w:r>
      <w:r>
        <w:rPr>
          <w:rFonts w:ascii="宋体" w:hAnsi="宋体" w:cs="宋体"/>
          <w:color w:val="000000" w:themeColor="text1"/>
          <w:sz w:val="28"/>
          <w:szCs w:val="28"/>
          <w14:textFill>
            <w14:solidFill>
              <w14:schemeClr w14:val="tx1"/>
            </w14:solidFill>
          </w14:textFill>
        </w:rPr>
        <w:t>@qq.com）。</w:t>
      </w:r>
      <w:r>
        <w:rPr>
          <w:color w:val="000000" w:themeColor="text1"/>
          <w14:textFill>
            <w14:solidFill>
              <w14:schemeClr w14:val="tx1"/>
            </w14:solidFill>
          </w14:textFill>
        </w:rPr>
        <w:br w:type="page"/>
      </w:r>
    </w:p>
    <w:p>
      <w:pPr>
        <w:pStyle w:val="44"/>
        <w:snapToGrid w:val="0"/>
        <w:spacing w:line="480" w:lineRule="auto"/>
        <w:jc w:val="center"/>
        <w:outlineLvl w:val="0"/>
        <w:rPr>
          <w:rFonts w:asciiTheme="majorEastAsia" w:hAnsiTheme="majorEastAsia" w:eastAsiaTheme="majorEastAsia"/>
          <w:b/>
          <w:color w:val="000000" w:themeColor="text1"/>
          <w:sz w:val="32"/>
          <w:szCs w:val="32"/>
          <w14:textFill>
            <w14:solidFill>
              <w14:schemeClr w14:val="tx1"/>
            </w14:solidFill>
          </w14:textFill>
        </w:rPr>
      </w:pPr>
      <w:bookmarkStart w:id="1" w:name="_Toc31368"/>
      <w:r>
        <w:rPr>
          <w:rFonts w:asciiTheme="majorEastAsia" w:hAnsiTheme="majorEastAsia" w:eastAsiaTheme="majorEastAsia"/>
          <w:b/>
          <w:color w:val="000000" w:themeColor="text1"/>
          <w:sz w:val="32"/>
          <w:szCs w:val="32"/>
          <w14:textFill>
            <w14:solidFill>
              <w14:schemeClr w14:val="tx1"/>
            </w14:solidFill>
          </w14:textFill>
        </w:rPr>
        <w:t xml:space="preserve">第二章  </w:t>
      </w:r>
      <w:bookmarkEnd w:id="1"/>
      <w:r>
        <w:rPr>
          <w:rFonts w:hint="eastAsia" w:cs="宋体" w:asciiTheme="majorEastAsia" w:hAnsiTheme="majorEastAsia" w:eastAsiaTheme="majorEastAsia"/>
          <w:b/>
          <w:sz w:val="32"/>
          <w:szCs w:val="32"/>
        </w:rPr>
        <w:t>采购项目需求</w:t>
      </w:r>
    </w:p>
    <w:p>
      <w:pPr>
        <w:spacing w:line="48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编号：</w:t>
      </w:r>
      <w:r>
        <w:rPr>
          <w:rFonts w:hint="eastAsia" w:ascii="宋体" w:hAnsi="宋体" w:cs="宋体"/>
          <w:color w:val="000000" w:themeColor="text1"/>
          <w:kern w:val="0"/>
          <w:sz w:val="24"/>
          <w14:textFill>
            <w14:solidFill>
              <w14:schemeClr w14:val="tx1"/>
            </w14:solidFill>
          </w14:textFill>
        </w:rPr>
        <w:t>ZJGS2021-C014</w:t>
      </w:r>
    </w:p>
    <w:p>
      <w:pPr>
        <w:spacing w:line="480" w:lineRule="auto"/>
        <w:rPr>
          <w:bCs/>
          <w:color w:val="000000" w:themeColor="text1"/>
          <w14:textFill>
            <w14:solidFill>
              <w14:schemeClr w14:val="tx1"/>
            </w14:solidFill>
          </w14:textFill>
        </w:rPr>
      </w:pPr>
      <w:r>
        <w:rPr>
          <w:rFonts w:ascii="宋体" w:hAnsi="宋体" w:cs="宋体"/>
          <w:color w:val="000000" w:themeColor="text1"/>
          <w:sz w:val="24"/>
          <w14:textFill>
            <w14:solidFill>
              <w14:schemeClr w14:val="tx1"/>
            </w14:solidFill>
          </w14:textFill>
        </w:rPr>
        <w:t>采购项目名称：</w:t>
      </w:r>
      <w:r>
        <w:rPr>
          <w:rFonts w:hint="eastAsia" w:ascii="宋体" w:hAnsi="宋体" w:cs="Arial"/>
          <w:bCs/>
          <w:color w:val="000000" w:themeColor="text1"/>
          <w:sz w:val="24"/>
          <w:szCs w:val="20"/>
          <w14:textFill>
            <w14:solidFill>
              <w14:schemeClr w14:val="tx1"/>
            </w14:solidFill>
          </w14:textFill>
        </w:rPr>
        <w:t>浙江广厦建设职业技术大学移动式垃圾压缩机</w:t>
      </w:r>
    </w:p>
    <w:p>
      <w:pPr>
        <w:numPr>
          <w:ilvl w:val="0"/>
          <w:numId w:val="3"/>
        </w:numPr>
        <w:spacing w:line="276" w:lineRule="auto"/>
        <w:rPr>
          <w:rFonts w:ascii="宋体" w:hAnsi="宋体" w:cs="Arial"/>
          <w:b/>
          <w:color w:val="000000" w:themeColor="text1"/>
          <w:sz w:val="28"/>
          <w:szCs w:val="28"/>
          <w14:textFill>
            <w14:solidFill>
              <w14:schemeClr w14:val="tx1"/>
            </w14:solidFill>
          </w14:textFill>
        </w:rPr>
      </w:pPr>
      <w:r>
        <w:rPr>
          <w:rFonts w:ascii="宋体" w:hAnsi="宋体" w:cs="Arial"/>
          <w:b/>
          <w:color w:val="000000" w:themeColor="text1"/>
          <w:sz w:val="28"/>
          <w:szCs w:val="28"/>
          <w14:textFill>
            <w14:solidFill>
              <w14:schemeClr w14:val="tx1"/>
            </w14:solidFill>
          </w14:textFill>
        </w:rPr>
        <w:t xml:space="preserve">采购内容及数量 </w:t>
      </w:r>
    </w:p>
    <w:tbl>
      <w:tblPr>
        <w:tblStyle w:val="21"/>
        <w:tblW w:w="8451" w:type="dxa"/>
        <w:tblInd w:w="40" w:type="dxa"/>
        <w:tblLayout w:type="fixed"/>
        <w:tblCellMar>
          <w:top w:w="0" w:type="dxa"/>
          <w:left w:w="108" w:type="dxa"/>
          <w:bottom w:w="0" w:type="dxa"/>
          <w:right w:w="108" w:type="dxa"/>
        </w:tblCellMar>
      </w:tblPr>
      <w:tblGrid>
        <w:gridCol w:w="4986"/>
        <w:gridCol w:w="3465"/>
      </w:tblGrid>
      <w:tr>
        <w:tblPrEx>
          <w:tblCellMar>
            <w:top w:w="0" w:type="dxa"/>
            <w:left w:w="108" w:type="dxa"/>
            <w:bottom w:w="0" w:type="dxa"/>
            <w:right w:w="108" w:type="dxa"/>
          </w:tblCellMar>
        </w:tblPrEx>
        <w:trPr>
          <w:trHeight w:val="426" w:hRule="atLeast"/>
        </w:trPr>
        <w:tc>
          <w:tcPr>
            <w:tcW w:w="4986"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ascii="宋体" w:hAnsi="宋体"/>
                <w:color w:val="000000" w:themeColor="text1"/>
                <w:kern w:val="0"/>
                <w:sz w:val="24"/>
                <w:lang w:val="zh-CN"/>
                <w14:textFill>
                  <w14:solidFill>
                    <w14:schemeClr w14:val="tx1"/>
                  </w14:solidFill>
                </w14:textFill>
              </w:rPr>
            </w:pPr>
            <w:r>
              <w:rPr>
                <w:rFonts w:ascii="宋体" w:hAnsi="宋体"/>
                <w:color w:val="000000" w:themeColor="text1"/>
                <w:kern w:val="0"/>
                <w:sz w:val="24"/>
                <w:lang w:val="zh-CN"/>
                <w14:textFill>
                  <w14:solidFill>
                    <w14:schemeClr w14:val="tx1"/>
                  </w14:solidFill>
                </w14:textFill>
              </w:rPr>
              <w:t>采购内容</w:t>
            </w:r>
          </w:p>
        </w:tc>
        <w:tc>
          <w:tcPr>
            <w:tcW w:w="3465" w:type="dxa"/>
            <w:tcBorders>
              <w:top w:val="single" w:color="000000" w:sz="4" w:space="0"/>
              <w:left w:val="single" w:color="000000" w:sz="4" w:space="0"/>
              <w:bottom w:val="single" w:color="000000" w:sz="4" w:space="0"/>
              <w:right w:val="single" w:color="000000" w:sz="4" w:space="0"/>
            </w:tcBorders>
            <w:vAlign w:val="center"/>
          </w:tcPr>
          <w:p>
            <w:pPr>
              <w:spacing w:before="60" w:after="60" w:line="400" w:lineRule="exact"/>
              <w:ind w:right="60"/>
              <w:jc w:val="center"/>
              <w:rPr>
                <w:rFonts w:ascii="宋体" w:hAnsi="宋体"/>
                <w:b/>
                <w:color w:val="000000"/>
                <w:sz w:val="24"/>
                <w:lang w:val="zh-CN"/>
              </w:rPr>
            </w:pPr>
            <w:r>
              <w:rPr>
                <w:rFonts w:hint="eastAsia" w:ascii="宋体" w:hAnsi="宋体" w:cs="宋体"/>
                <w:b/>
                <w:sz w:val="24"/>
                <w:szCs w:val="20"/>
              </w:rPr>
              <w:t>预算金额</w:t>
            </w:r>
          </w:p>
        </w:tc>
      </w:tr>
      <w:tr>
        <w:tblPrEx>
          <w:tblCellMar>
            <w:top w:w="0" w:type="dxa"/>
            <w:left w:w="108" w:type="dxa"/>
            <w:bottom w:w="0" w:type="dxa"/>
            <w:right w:w="108" w:type="dxa"/>
          </w:tblCellMar>
        </w:tblPrEx>
        <w:trPr>
          <w:trHeight w:val="782" w:hRule="atLeast"/>
        </w:trPr>
        <w:tc>
          <w:tcPr>
            <w:tcW w:w="4986" w:type="dxa"/>
            <w:tcBorders>
              <w:top w:val="single" w:color="000000" w:sz="4" w:space="0"/>
              <w:left w:val="single" w:color="000000" w:sz="4" w:space="0"/>
              <w:bottom w:val="single" w:color="000000" w:sz="4" w:space="0"/>
              <w:right w:val="single" w:color="000000" w:sz="4" w:space="0"/>
            </w:tcBorders>
            <w:vAlign w:val="center"/>
          </w:tcPr>
          <w:p>
            <w:pPr>
              <w:pStyle w:val="47"/>
              <w:spacing w:line="400" w:lineRule="exact"/>
              <w:ind w:firstLine="0" w:firstLineChars="0"/>
              <w:jc w:val="center"/>
              <w:rPr>
                <w:rFonts w:ascii="宋体" w:hAnsi="宋体"/>
                <w:color w:val="000000" w:themeColor="text1"/>
                <w:kern w:val="0"/>
                <w:sz w:val="24"/>
                <w:lang w:val="zh-CN"/>
                <w14:textFill>
                  <w14:solidFill>
                    <w14:schemeClr w14:val="tx1"/>
                  </w14:solidFill>
                </w14:textFill>
              </w:rPr>
            </w:pPr>
            <w:r>
              <w:rPr>
                <w:rFonts w:hint="eastAsia" w:ascii="宋体" w:hAnsi="宋体" w:cs="Arial"/>
                <w:bCs/>
                <w:color w:val="000000" w:themeColor="text1"/>
                <w:sz w:val="24"/>
                <w:szCs w:val="20"/>
                <w14:textFill>
                  <w14:solidFill>
                    <w14:schemeClr w14:val="tx1"/>
                  </w14:solidFill>
                </w14:textFill>
              </w:rPr>
              <w:t>移动式垃圾压缩机</w:t>
            </w:r>
          </w:p>
        </w:tc>
        <w:tc>
          <w:tcPr>
            <w:tcW w:w="346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olor w:val="000000"/>
                <w:sz w:val="24"/>
              </w:rPr>
            </w:pPr>
            <w:r>
              <w:rPr>
                <w:rFonts w:hint="eastAsia" w:ascii="宋体" w:hAnsi="宋体"/>
                <w:color w:val="000000"/>
                <w:sz w:val="24"/>
              </w:rPr>
              <w:t>16万</w:t>
            </w:r>
          </w:p>
        </w:tc>
      </w:tr>
    </w:tbl>
    <w:tbl>
      <w:tblPr>
        <w:tblStyle w:val="21"/>
        <w:tblpPr w:leftFromText="180" w:rightFromText="180" w:vertAnchor="text" w:horzAnchor="page" w:tblpX="1500" w:tblpY="7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8"/>
        <w:gridCol w:w="4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058" w:type="dxa"/>
            <w:vAlign w:val="center"/>
          </w:tcPr>
          <w:p>
            <w:pPr>
              <w:jc w:val="center"/>
              <w:rPr>
                <w:rFonts w:ascii="宋体" w:hAnsi="宋体"/>
                <w:sz w:val="24"/>
              </w:rPr>
            </w:pPr>
            <w:r>
              <w:rPr>
                <w:rFonts w:hint="eastAsia" w:ascii="宋体" w:hAnsi="宋体"/>
                <w:sz w:val="24"/>
              </w:rPr>
              <w:t>项目</w:t>
            </w:r>
          </w:p>
        </w:tc>
        <w:tc>
          <w:tcPr>
            <w:tcW w:w="4861" w:type="dxa"/>
            <w:vAlign w:val="center"/>
          </w:tcPr>
          <w:p>
            <w:pPr>
              <w:jc w:val="center"/>
              <w:rPr>
                <w:rFonts w:ascii="宋体" w:hAnsi="宋体"/>
                <w:sz w:val="24"/>
              </w:rPr>
            </w:pPr>
            <w:r>
              <w:rPr>
                <w:rFonts w:hint="eastAsia" w:ascii="宋体" w:hAnsi="宋体"/>
                <w:sz w:val="24"/>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058" w:type="dxa"/>
          </w:tcPr>
          <w:p>
            <w:pPr>
              <w:rPr>
                <w:rFonts w:ascii="宋体" w:hAnsi="宋体"/>
                <w:sz w:val="24"/>
              </w:rPr>
            </w:pPr>
            <w:r>
              <w:rPr>
                <w:rFonts w:hint="eastAsia" w:ascii="宋体" w:hAnsi="宋体"/>
                <w:bCs/>
                <w:sz w:val="24"/>
              </w:rPr>
              <w:t>外形尺寸(</w:t>
            </w:r>
            <w:r>
              <w:rPr>
                <w:rFonts w:ascii="宋体" w:hAnsi="宋体"/>
                <w:bCs/>
                <w:sz w:val="24"/>
              </w:rPr>
              <w:t>mm</w:t>
            </w:r>
            <w:r>
              <w:rPr>
                <w:rFonts w:hint="eastAsia" w:ascii="宋体" w:hAnsi="宋体"/>
                <w:bCs/>
                <w:sz w:val="24"/>
              </w:rPr>
              <w:t>)</w:t>
            </w:r>
          </w:p>
        </w:tc>
        <w:tc>
          <w:tcPr>
            <w:tcW w:w="4861" w:type="dxa"/>
            <w:vAlign w:val="center"/>
          </w:tcPr>
          <w:p>
            <w:pPr>
              <w:widowControl/>
              <w:rPr>
                <w:rFonts w:ascii="宋体" w:hAnsi="宋体"/>
                <w:kern w:val="0"/>
                <w:sz w:val="24"/>
              </w:rPr>
            </w:pPr>
            <w:r>
              <w:rPr>
                <w:rFonts w:hint="eastAsia" w:ascii="宋体" w:hAnsi="宋体"/>
                <w:sz w:val="24"/>
              </w:rPr>
              <w:t>5030×2560×2630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058" w:type="dxa"/>
          </w:tcPr>
          <w:p>
            <w:pPr>
              <w:rPr>
                <w:rFonts w:ascii="宋体" w:hAnsi="宋体"/>
                <w:sz w:val="24"/>
              </w:rPr>
            </w:pPr>
            <w:r>
              <w:rPr>
                <w:rFonts w:hint="eastAsia" w:ascii="宋体" w:hAnsi="宋体"/>
                <w:bCs/>
                <w:sz w:val="24"/>
              </w:rPr>
              <w:t>自重(</w:t>
            </w:r>
            <w:r>
              <w:rPr>
                <w:rFonts w:ascii="宋体" w:hAnsi="宋体"/>
                <w:bCs/>
                <w:sz w:val="24"/>
              </w:rPr>
              <w:t>t</w:t>
            </w:r>
            <w:r>
              <w:rPr>
                <w:rFonts w:hint="eastAsia" w:ascii="宋体" w:hAnsi="宋体"/>
                <w:bCs/>
                <w:sz w:val="24"/>
              </w:rPr>
              <w:t>)</w:t>
            </w:r>
          </w:p>
        </w:tc>
        <w:tc>
          <w:tcPr>
            <w:tcW w:w="4861" w:type="dxa"/>
            <w:vAlign w:val="center"/>
          </w:tcPr>
          <w:p>
            <w:pPr>
              <w:rPr>
                <w:rFonts w:ascii="宋体" w:hAnsi="宋体"/>
                <w:sz w:val="24"/>
              </w:rPr>
            </w:pPr>
            <w:r>
              <w:rPr>
                <w:rFonts w:hint="eastAsia" w:ascii="宋体" w:hAnsi="宋体"/>
                <w:sz w:val="24"/>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058" w:type="dxa"/>
          </w:tcPr>
          <w:p>
            <w:pPr>
              <w:rPr>
                <w:rFonts w:ascii="宋体" w:hAnsi="宋体"/>
                <w:bCs/>
                <w:sz w:val="24"/>
              </w:rPr>
            </w:pPr>
            <w:r>
              <w:rPr>
                <w:rFonts w:hint="eastAsia" w:ascii="宋体" w:hAnsi="宋体"/>
                <w:bCs/>
                <w:sz w:val="24"/>
              </w:rPr>
              <w:t>单机</w:t>
            </w:r>
            <w:r>
              <w:rPr>
                <w:rFonts w:ascii="宋体" w:hAnsi="宋体"/>
                <w:bCs/>
                <w:sz w:val="24"/>
              </w:rPr>
              <w:t>垃圾处理能力</w:t>
            </w:r>
            <w:r>
              <w:rPr>
                <w:rFonts w:hint="eastAsia" w:ascii="宋体" w:hAnsi="宋体"/>
                <w:bCs/>
                <w:sz w:val="24"/>
              </w:rPr>
              <w:t>(m</w:t>
            </w:r>
            <w:r>
              <w:rPr>
                <w:rFonts w:hint="eastAsia" w:ascii="宋体" w:hAnsi="宋体"/>
                <w:bCs/>
                <w:sz w:val="24"/>
                <w:vertAlign w:val="superscript"/>
              </w:rPr>
              <w:t>3</w:t>
            </w:r>
            <w:r>
              <w:rPr>
                <w:rFonts w:ascii="宋体" w:hAnsi="宋体"/>
                <w:bCs/>
                <w:sz w:val="24"/>
              </w:rPr>
              <w:t>/h</w:t>
            </w:r>
            <w:r>
              <w:rPr>
                <w:rFonts w:hint="eastAsia" w:ascii="宋体" w:hAnsi="宋体"/>
                <w:bCs/>
                <w:sz w:val="24"/>
              </w:rPr>
              <w:t>)</w:t>
            </w:r>
          </w:p>
        </w:tc>
        <w:tc>
          <w:tcPr>
            <w:tcW w:w="4861" w:type="dxa"/>
            <w:vAlign w:val="center"/>
          </w:tcPr>
          <w:p>
            <w:pPr>
              <w:rPr>
                <w:rFonts w:ascii="宋体" w:hAnsi="宋体"/>
                <w:sz w:val="24"/>
              </w:rPr>
            </w:pPr>
            <w:r>
              <w:rPr>
                <w:rFonts w:hint="eastAsia" w:ascii="宋体" w:hAnsi="宋体"/>
                <w:sz w:val="24"/>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058" w:type="dxa"/>
          </w:tcPr>
          <w:p>
            <w:pPr>
              <w:rPr>
                <w:rFonts w:ascii="宋体" w:hAnsi="宋体"/>
                <w:sz w:val="24"/>
              </w:rPr>
            </w:pPr>
            <w:r>
              <w:rPr>
                <w:rFonts w:hint="eastAsia" w:ascii="宋体" w:hAnsi="宋体"/>
                <w:bCs/>
                <w:sz w:val="24"/>
              </w:rPr>
              <w:t>装载容积(m</w:t>
            </w:r>
            <w:r>
              <w:rPr>
                <w:rFonts w:hint="eastAsia" w:ascii="宋体" w:hAnsi="宋体"/>
                <w:bCs/>
                <w:sz w:val="24"/>
                <w:vertAlign w:val="superscript"/>
              </w:rPr>
              <w:t>3</w:t>
            </w:r>
            <w:r>
              <w:rPr>
                <w:rFonts w:hint="eastAsia" w:ascii="宋体" w:hAnsi="宋体"/>
                <w:bCs/>
                <w:sz w:val="24"/>
              </w:rPr>
              <w:t>)</w:t>
            </w:r>
          </w:p>
        </w:tc>
        <w:tc>
          <w:tcPr>
            <w:tcW w:w="4861" w:type="dxa"/>
            <w:vAlign w:val="center"/>
          </w:tcPr>
          <w:p>
            <w:pPr>
              <w:rPr>
                <w:rFonts w:ascii="宋体" w:hAnsi="宋体"/>
                <w:sz w:val="24"/>
              </w:rPr>
            </w:pPr>
            <w:r>
              <w:rPr>
                <w:rFonts w:hint="eastAsia" w:ascii="宋体" w:hAnsi="宋体"/>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058" w:type="dxa"/>
          </w:tcPr>
          <w:p>
            <w:pPr>
              <w:rPr>
                <w:rFonts w:ascii="宋体" w:hAnsi="宋体"/>
                <w:sz w:val="24"/>
              </w:rPr>
            </w:pPr>
            <w:r>
              <w:rPr>
                <w:rFonts w:hint="eastAsia" w:ascii="宋体" w:hAnsi="宋体"/>
                <w:bCs/>
                <w:sz w:val="24"/>
              </w:rPr>
              <w:t>满载时垃圾重量(</w:t>
            </w:r>
            <w:r>
              <w:rPr>
                <w:rFonts w:ascii="宋体" w:hAnsi="宋体"/>
                <w:bCs/>
                <w:sz w:val="24"/>
              </w:rPr>
              <w:t>t</w:t>
            </w:r>
            <w:r>
              <w:rPr>
                <w:rFonts w:hint="eastAsia" w:ascii="宋体" w:hAnsi="宋体"/>
                <w:bCs/>
                <w:sz w:val="24"/>
              </w:rPr>
              <w:t>)</w:t>
            </w:r>
          </w:p>
        </w:tc>
        <w:tc>
          <w:tcPr>
            <w:tcW w:w="4861" w:type="dxa"/>
            <w:vAlign w:val="center"/>
          </w:tcPr>
          <w:p>
            <w:pPr>
              <w:rPr>
                <w:rFonts w:ascii="宋体" w:hAnsi="宋体"/>
                <w:color w:val="000000"/>
                <w:sz w:val="24"/>
              </w:rPr>
            </w:pPr>
            <w:r>
              <w:rPr>
                <w:rFonts w:hint="eastAsia" w:ascii="宋体" w:hAnsi="宋体"/>
                <w:color w:val="000000"/>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058" w:type="dxa"/>
          </w:tcPr>
          <w:p>
            <w:pPr>
              <w:rPr>
                <w:rFonts w:ascii="宋体" w:hAnsi="宋体"/>
                <w:sz w:val="24"/>
              </w:rPr>
            </w:pPr>
            <w:r>
              <w:rPr>
                <w:rFonts w:hint="eastAsia" w:ascii="宋体" w:hAnsi="宋体"/>
                <w:bCs/>
                <w:sz w:val="24"/>
              </w:rPr>
              <w:t>垃圾最大密实度(t/m</w:t>
            </w:r>
            <w:r>
              <w:rPr>
                <w:rFonts w:hint="eastAsia" w:ascii="宋体" w:hAnsi="宋体"/>
                <w:bCs/>
                <w:sz w:val="24"/>
                <w:vertAlign w:val="superscript"/>
              </w:rPr>
              <w:t>3</w:t>
            </w:r>
            <w:r>
              <w:rPr>
                <w:rFonts w:hint="eastAsia" w:ascii="宋体" w:hAnsi="宋体"/>
                <w:bCs/>
                <w:sz w:val="24"/>
              </w:rPr>
              <w:t>)</w:t>
            </w:r>
          </w:p>
        </w:tc>
        <w:tc>
          <w:tcPr>
            <w:tcW w:w="4861" w:type="dxa"/>
            <w:vAlign w:val="center"/>
          </w:tcPr>
          <w:p>
            <w:pPr>
              <w:rPr>
                <w:rFonts w:ascii="宋体" w:hAnsi="宋体"/>
                <w:color w:val="000000"/>
                <w:sz w:val="24"/>
              </w:rPr>
            </w:pPr>
            <w:r>
              <w:rPr>
                <w:rFonts w:hint="eastAsia" w:ascii="宋体" w:hAnsi="宋体"/>
                <w:color w:val="000000"/>
                <w:sz w:val="24"/>
              </w:rPr>
              <w:t xml:space="preserve">≥0.75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058" w:type="dxa"/>
          </w:tcPr>
          <w:p>
            <w:pPr>
              <w:rPr>
                <w:rFonts w:ascii="宋体" w:hAnsi="宋体"/>
                <w:sz w:val="24"/>
              </w:rPr>
            </w:pPr>
            <w:r>
              <w:rPr>
                <w:rFonts w:hint="eastAsia" w:ascii="宋体" w:hAnsi="宋体"/>
                <w:bCs/>
                <w:sz w:val="24"/>
              </w:rPr>
              <w:t>单行程压缩量(m</w:t>
            </w:r>
            <w:r>
              <w:rPr>
                <w:rFonts w:hint="eastAsia" w:ascii="宋体" w:hAnsi="宋体"/>
                <w:bCs/>
                <w:sz w:val="24"/>
                <w:vertAlign w:val="superscript"/>
              </w:rPr>
              <w:t>3</w:t>
            </w:r>
            <w:r>
              <w:rPr>
                <w:rFonts w:hint="eastAsia" w:ascii="宋体" w:hAnsi="宋体"/>
                <w:bCs/>
                <w:sz w:val="24"/>
              </w:rPr>
              <w:t>)</w:t>
            </w:r>
          </w:p>
        </w:tc>
        <w:tc>
          <w:tcPr>
            <w:tcW w:w="4861" w:type="dxa"/>
            <w:vAlign w:val="center"/>
          </w:tcPr>
          <w:p>
            <w:pPr>
              <w:rPr>
                <w:rFonts w:ascii="宋体" w:hAnsi="宋体"/>
                <w:color w:val="000000"/>
                <w:sz w:val="24"/>
              </w:rPr>
            </w:pPr>
            <w:r>
              <w:rPr>
                <w:rFonts w:hint="eastAsia" w:ascii="宋体" w:hAnsi="宋体"/>
                <w:color w:val="000000"/>
                <w:sz w:val="24"/>
              </w:rPr>
              <w:t xml:space="preserve">≥1.3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058" w:type="dxa"/>
          </w:tcPr>
          <w:p>
            <w:pPr>
              <w:rPr>
                <w:rFonts w:ascii="宋体" w:hAnsi="宋体"/>
                <w:bCs/>
                <w:sz w:val="24"/>
                <w:highlight w:val="yellow"/>
              </w:rPr>
            </w:pPr>
            <w:r>
              <w:rPr>
                <w:rFonts w:hint="eastAsia" w:ascii="宋体" w:hAnsi="宋体"/>
                <w:bCs/>
                <w:sz w:val="24"/>
              </w:rPr>
              <w:t>受料</w:t>
            </w:r>
            <w:r>
              <w:rPr>
                <w:rFonts w:ascii="宋体" w:hAnsi="宋体"/>
                <w:bCs/>
                <w:sz w:val="24"/>
              </w:rPr>
              <w:t>腔有效容积</w:t>
            </w:r>
            <w:r>
              <w:rPr>
                <w:rFonts w:hint="eastAsia" w:ascii="宋体" w:hAnsi="宋体"/>
                <w:bCs/>
                <w:sz w:val="24"/>
              </w:rPr>
              <w:t>(m</w:t>
            </w:r>
            <w:r>
              <w:rPr>
                <w:rFonts w:hint="eastAsia" w:ascii="宋体" w:hAnsi="宋体"/>
                <w:bCs/>
                <w:sz w:val="24"/>
                <w:vertAlign w:val="superscript"/>
              </w:rPr>
              <w:t>3</w:t>
            </w:r>
            <w:r>
              <w:rPr>
                <w:rFonts w:hint="eastAsia" w:ascii="宋体" w:hAnsi="宋体"/>
                <w:bCs/>
                <w:sz w:val="24"/>
              </w:rPr>
              <w:t>)</w:t>
            </w:r>
          </w:p>
        </w:tc>
        <w:tc>
          <w:tcPr>
            <w:tcW w:w="4861" w:type="dxa"/>
            <w:vAlign w:val="center"/>
          </w:tcPr>
          <w:p>
            <w:pPr>
              <w:rPr>
                <w:rFonts w:ascii="宋体" w:hAnsi="宋体"/>
                <w:color w:val="000000"/>
                <w:sz w:val="24"/>
              </w:rPr>
            </w:pPr>
            <w:r>
              <w:rPr>
                <w:rFonts w:hint="eastAsia" w:ascii="宋体" w:hAnsi="宋体"/>
                <w:color w:val="000000"/>
                <w:sz w:val="24"/>
              </w:rPr>
              <w:t>≥</w:t>
            </w:r>
            <w:r>
              <w:rPr>
                <w:rFonts w:ascii="宋体" w:hAnsi="宋体"/>
                <w:color w:val="000000"/>
                <w:sz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058" w:type="dxa"/>
          </w:tcPr>
          <w:p>
            <w:pPr>
              <w:rPr>
                <w:rFonts w:ascii="宋体" w:hAnsi="宋体"/>
                <w:sz w:val="24"/>
              </w:rPr>
            </w:pPr>
            <w:r>
              <w:rPr>
                <w:rFonts w:hint="eastAsia" w:ascii="宋体" w:hAnsi="宋体"/>
                <w:bCs/>
                <w:sz w:val="24"/>
              </w:rPr>
              <w:t>压缩推头工作表面积(m</w:t>
            </w:r>
            <w:r>
              <w:rPr>
                <w:rFonts w:hint="eastAsia" w:ascii="宋体" w:hAnsi="宋体"/>
                <w:bCs/>
                <w:sz w:val="24"/>
                <w:vertAlign w:val="superscript"/>
              </w:rPr>
              <w:t>2</w:t>
            </w:r>
            <w:r>
              <w:rPr>
                <w:rFonts w:hint="eastAsia" w:ascii="宋体" w:hAnsi="宋体"/>
                <w:bCs/>
                <w:sz w:val="24"/>
              </w:rPr>
              <w:t>)</w:t>
            </w:r>
          </w:p>
        </w:tc>
        <w:tc>
          <w:tcPr>
            <w:tcW w:w="4861" w:type="dxa"/>
            <w:vAlign w:val="center"/>
          </w:tcPr>
          <w:p>
            <w:pPr>
              <w:rPr>
                <w:rFonts w:ascii="宋体" w:hAnsi="宋体"/>
                <w:color w:val="000000"/>
                <w:sz w:val="24"/>
              </w:rPr>
            </w:pPr>
            <w:r>
              <w:rPr>
                <w:rFonts w:hint="eastAsia" w:ascii="宋体" w:hAnsi="宋体"/>
                <w:color w:val="000000"/>
                <w:sz w:val="24"/>
              </w:rPr>
              <w:t>≥0.95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058" w:type="dxa"/>
          </w:tcPr>
          <w:p>
            <w:pPr>
              <w:rPr>
                <w:rFonts w:ascii="宋体" w:hAnsi="宋体"/>
                <w:sz w:val="24"/>
              </w:rPr>
            </w:pPr>
            <w:r>
              <w:rPr>
                <w:rFonts w:hint="eastAsia" w:ascii="宋体" w:hAnsi="宋体"/>
                <w:bCs/>
                <w:sz w:val="24"/>
              </w:rPr>
              <w:t>压缩方式</w:t>
            </w:r>
          </w:p>
        </w:tc>
        <w:tc>
          <w:tcPr>
            <w:tcW w:w="4861" w:type="dxa"/>
            <w:vAlign w:val="center"/>
          </w:tcPr>
          <w:p>
            <w:pPr>
              <w:rPr>
                <w:rFonts w:ascii="宋体" w:hAnsi="宋体"/>
                <w:color w:val="000000"/>
                <w:sz w:val="24"/>
              </w:rPr>
            </w:pPr>
            <w:r>
              <w:rPr>
                <w:rFonts w:hint="eastAsia" w:ascii="宋体" w:hAnsi="宋体"/>
                <w:color w:val="000000"/>
                <w:sz w:val="24"/>
              </w:rPr>
              <w:t>双油缸剪刀叉型布置、水平压缩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058" w:type="dxa"/>
          </w:tcPr>
          <w:p>
            <w:pPr>
              <w:rPr>
                <w:rFonts w:ascii="宋体" w:hAnsi="宋体"/>
                <w:sz w:val="24"/>
              </w:rPr>
            </w:pPr>
            <w:r>
              <w:rPr>
                <w:rFonts w:hint="eastAsia" w:ascii="宋体" w:hAnsi="宋体"/>
                <w:bCs/>
                <w:sz w:val="24"/>
              </w:rPr>
              <w:t>最大压缩力(</w:t>
            </w:r>
            <w:r>
              <w:rPr>
                <w:rFonts w:ascii="宋体" w:hAnsi="宋体"/>
                <w:bCs/>
                <w:sz w:val="24"/>
              </w:rPr>
              <w:t>k</w:t>
            </w:r>
            <w:r>
              <w:rPr>
                <w:rFonts w:hint="eastAsia" w:ascii="宋体" w:hAnsi="宋体"/>
                <w:bCs/>
                <w:sz w:val="24"/>
              </w:rPr>
              <w:t>N)</w:t>
            </w:r>
          </w:p>
        </w:tc>
        <w:tc>
          <w:tcPr>
            <w:tcW w:w="4861" w:type="dxa"/>
            <w:vAlign w:val="center"/>
          </w:tcPr>
          <w:p>
            <w:pPr>
              <w:rPr>
                <w:rFonts w:ascii="宋体" w:hAnsi="宋体"/>
                <w:color w:val="000000"/>
                <w:sz w:val="24"/>
              </w:rPr>
            </w:pPr>
            <w:r>
              <w:rPr>
                <w:rFonts w:hint="eastAsia" w:ascii="宋体" w:hAnsi="宋体"/>
                <w:color w:val="000000"/>
                <w:sz w:val="24"/>
              </w:rPr>
              <w:t>≥340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058" w:type="dxa"/>
          </w:tcPr>
          <w:p>
            <w:pPr>
              <w:rPr>
                <w:rFonts w:ascii="宋体" w:hAnsi="宋体"/>
                <w:bCs/>
                <w:sz w:val="24"/>
              </w:rPr>
            </w:pPr>
            <w:r>
              <w:rPr>
                <w:rFonts w:hint="eastAsia" w:ascii="宋体" w:hAnsi="宋体"/>
                <w:bCs/>
                <w:sz w:val="24"/>
              </w:rPr>
              <w:t>最大</w:t>
            </w:r>
            <w:r>
              <w:rPr>
                <w:rFonts w:ascii="宋体" w:hAnsi="宋体"/>
                <w:bCs/>
                <w:sz w:val="24"/>
              </w:rPr>
              <w:t>提料能力</w:t>
            </w:r>
            <w:r>
              <w:rPr>
                <w:rFonts w:hint="eastAsia" w:ascii="宋体" w:hAnsi="宋体"/>
                <w:bCs/>
                <w:sz w:val="24"/>
              </w:rPr>
              <w:t>（t</w:t>
            </w:r>
            <w:r>
              <w:rPr>
                <w:rFonts w:ascii="宋体" w:hAnsi="宋体"/>
                <w:bCs/>
                <w:sz w:val="24"/>
              </w:rPr>
              <w:t>）</w:t>
            </w:r>
          </w:p>
        </w:tc>
        <w:tc>
          <w:tcPr>
            <w:tcW w:w="4861" w:type="dxa"/>
            <w:vAlign w:val="center"/>
          </w:tcPr>
          <w:p>
            <w:pPr>
              <w:rPr>
                <w:rFonts w:ascii="宋体" w:hAnsi="宋体"/>
                <w:color w:val="000000"/>
                <w:sz w:val="24"/>
              </w:rPr>
            </w:pPr>
            <w:r>
              <w:rPr>
                <w:rFonts w:hint="eastAsia" w:ascii="宋体" w:hAnsi="宋体"/>
                <w:color w:val="00000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058" w:type="dxa"/>
          </w:tcPr>
          <w:p>
            <w:pPr>
              <w:rPr>
                <w:rFonts w:ascii="宋体" w:hAnsi="宋体"/>
                <w:bCs/>
                <w:sz w:val="24"/>
              </w:rPr>
            </w:pPr>
            <w:r>
              <w:rPr>
                <w:rFonts w:hint="eastAsia" w:ascii="宋体" w:hAnsi="宋体"/>
                <w:bCs/>
                <w:sz w:val="24"/>
              </w:rPr>
              <w:t>液压</w:t>
            </w:r>
            <w:r>
              <w:rPr>
                <w:rFonts w:ascii="宋体" w:hAnsi="宋体"/>
                <w:bCs/>
                <w:sz w:val="24"/>
              </w:rPr>
              <w:t>系统最大压力</w:t>
            </w:r>
            <w:r>
              <w:rPr>
                <w:rFonts w:hint="eastAsia" w:ascii="宋体" w:hAnsi="宋体"/>
                <w:bCs/>
                <w:sz w:val="24"/>
              </w:rPr>
              <w:t>(</w:t>
            </w:r>
            <w:r>
              <w:rPr>
                <w:rFonts w:ascii="宋体" w:hAnsi="宋体"/>
                <w:bCs/>
                <w:sz w:val="24"/>
              </w:rPr>
              <w:t>Mpa</w:t>
            </w:r>
            <w:r>
              <w:rPr>
                <w:rFonts w:hint="eastAsia" w:ascii="宋体" w:hAnsi="宋体"/>
                <w:bCs/>
                <w:sz w:val="24"/>
              </w:rPr>
              <w:t>)</w:t>
            </w:r>
          </w:p>
        </w:tc>
        <w:tc>
          <w:tcPr>
            <w:tcW w:w="4861" w:type="dxa"/>
            <w:vAlign w:val="center"/>
          </w:tcPr>
          <w:p>
            <w:pPr>
              <w:rPr>
                <w:rFonts w:ascii="宋体" w:hAnsi="宋体"/>
                <w:color w:val="000000"/>
                <w:sz w:val="24"/>
              </w:rPr>
            </w:pPr>
            <w:r>
              <w:rPr>
                <w:rFonts w:hint="eastAsia" w:ascii="宋体" w:hAnsi="宋体"/>
                <w:color w:val="000000"/>
                <w:sz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058" w:type="dxa"/>
          </w:tcPr>
          <w:p>
            <w:pPr>
              <w:rPr>
                <w:rFonts w:ascii="宋体" w:hAnsi="宋体"/>
                <w:bCs/>
                <w:sz w:val="24"/>
              </w:rPr>
            </w:pPr>
            <w:r>
              <w:rPr>
                <w:rFonts w:hint="eastAsia" w:ascii="宋体" w:hAnsi="宋体"/>
                <w:bCs/>
                <w:sz w:val="24"/>
              </w:rPr>
              <w:t>液压</w:t>
            </w:r>
            <w:r>
              <w:rPr>
                <w:rFonts w:ascii="宋体" w:hAnsi="宋体"/>
                <w:bCs/>
                <w:sz w:val="24"/>
              </w:rPr>
              <w:t>系统</w:t>
            </w:r>
            <w:r>
              <w:rPr>
                <w:rFonts w:hint="eastAsia" w:ascii="宋体" w:hAnsi="宋体"/>
                <w:bCs/>
                <w:sz w:val="24"/>
              </w:rPr>
              <w:t>额定</w:t>
            </w:r>
            <w:r>
              <w:rPr>
                <w:rFonts w:ascii="宋体" w:hAnsi="宋体"/>
                <w:bCs/>
                <w:sz w:val="24"/>
              </w:rPr>
              <w:t>工作压力</w:t>
            </w:r>
            <w:r>
              <w:rPr>
                <w:rFonts w:hint="eastAsia" w:ascii="宋体" w:hAnsi="宋体"/>
                <w:bCs/>
                <w:sz w:val="24"/>
              </w:rPr>
              <w:t>(</w:t>
            </w:r>
            <w:r>
              <w:rPr>
                <w:rFonts w:ascii="宋体" w:hAnsi="宋体"/>
                <w:bCs/>
                <w:sz w:val="24"/>
              </w:rPr>
              <w:t>Mpa</w:t>
            </w:r>
            <w:r>
              <w:rPr>
                <w:rFonts w:hint="eastAsia" w:ascii="宋体" w:hAnsi="宋体"/>
                <w:bCs/>
                <w:sz w:val="24"/>
              </w:rPr>
              <w:t>)</w:t>
            </w:r>
          </w:p>
        </w:tc>
        <w:tc>
          <w:tcPr>
            <w:tcW w:w="4861" w:type="dxa"/>
            <w:vAlign w:val="center"/>
          </w:tcPr>
          <w:p>
            <w:pPr>
              <w:rPr>
                <w:rFonts w:ascii="宋体" w:hAnsi="宋体"/>
                <w:color w:val="000000"/>
                <w:sz w:val="24"/>
              </w:rPr>
            </w:pPr>
            <w:r>
              <w:rPr>
                <w:rFonts w:hint="eastAsia" w:ascii="宋体" w:hAnsi="宋体"/>
                <w:color w:val="000000"/>
                <w:sz w:val="24"/>
              </w:rPr>
              <w:t>19～19.5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058" w:type="dxa"/>
          </w:tcPr>
          <w:p>
            <w:pPr>
              <w:rPr>
                <w:rFonts w:ascii="宋体" w:hAnsi="宋体"/>
                <w:sz w:val="24"/>
              </w:rPr>
            </w:pPr>
            <w:r>
              <w:rPr>
                <w:rFonts w:hint="eastAsia" w:ascii="宋体" w:hAnsi="宋体"/>
                <w:bCs/>
                <w:sz w:val="24"/>
              </w:rPr>
              <w:t>一次压缩循环时间(s)</w:t>
            </w:r>
          </w:p>
        </w:tc>
        <w:tc>
          <w:tcPr>
            <w:tcW w:w="4861" w:type="dxa"/>
            <w:vAlign w:val="center"/>
          </w:tcPr>
          <w:p>
            <w:pPr>
              <w:rPr>
                <w:rFonts w:ascii="宋体" w:hAnsi="宋体"/>
                <w:color w:val="000000"/>
                <w:sz w:val="24"/>
              </w:rPr>
            </w:pPr>
            <w:r>
              <w:rPr>
                <w:rFonts w:hint="eastAsia" w:ascii="宋体" w:hAnsi="宋体"/>
                <w:color w:val="000000"/>
                <w:sz w:val="24"/>
              </w:rPr>
              <w:t xml:space="preserve">≤35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058" w:type="dxa"/>
          </w:tcPr>
          <w:p>
            <w:pPr>
              <w:rPr>
                <w:rFonts w:ascii="宋体" w:hAnsi="宋体"/>
                <w:bCs/>
                <w:sz w:val="24"/>
              </w:rPr>
            </w:pPr>
            <w:r>
              <w:rPr>
                <w:rFonts w:hint="eastAsia" w:ascii="宋体" w:hAnsi="宋体"/>
                <w:bCs/>
                <w:sz w:val="24"/>
              </w:rPr>
              <w:t>料斗</w:t>
            </w:r>
            <w:r>
              <w:rPr>
                <w:rFonts w:ascii="宋体" w:hAnsi="宋体"/>
                <w:bCs/>
                <w:sz w:val="24"/>
              </w:rPr>
              <w:t>提升循环时间</w:t>
            </w:r>
            <w:r>
              <w:rPr>
                <w:rFonts w:hint="eastAsia" w:ascii="宋体" w:hAnsi="宋体"/>
                <w:bCs/>
                <w:sz w:val="24"/>
              </w:rPr>
              <w:t>(s)</w:t>
            </w:r>
          </w:p>
        </w:tc>
        <w:tc>
          <w:tcPr>
            <w:tcW w:w="4861" w:type="dxa"/>
            <w:vAlign w:val="center"/>
          </w:tcPr>
          <w:p>
            <w:pPr>
              <w:rPr>
                <w:rFonts w:ascii="宋体" w:hAnsi="宋体"/>
                <w:color w:val="000000"/>
                <w:sz w:val="24"/>
              </w:rPr>
            </w:pPr>
            <w:r>
              <w:rPr>
                <w:rFonts w:hint="eastAsia" w:ascii="宋体" w:hAnsi="宋体"/>
                <w:color w:val="000000"/>
                <w:sz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058" w:type="dxa"/>
          </w:tcPr>
          <w:p>
            <w:pPr>
              <w:rPr>
                <w:rFonts w:ascii="宋体" w:hAnsi="宋体"/>
                <w:bCs/>
                <w:sz w:val="24"/>
              </w:rPr>
            </w:pPr>
            <w:r>
              <w:rPr>
                <w:rFonts w:hint="eastAsia" w:ascii="宋体" w:hAnsi="宋体"/>
                <w:bCs/>
                <w:sz w:val="24"/>
              </w:rPr>
              <w:t>箱体</w:t>
            </w:r>
            <w:r>
              <w:rPr>
                <w:rFonts w:ascii="宋体" w:hAnsi="宋体"/>
                <w:bCs/>
                <w:sz w:val="24"/>
              </w:rPr>
              <w:t>壁厚（</w:t>
            </w:r>
            <w:r>
              <w:rPr>
                <w:rFonts w:hint="eastAsia" w:ascii="宋体" w:hAnsi="宋体"/>
                <w:bCs/>
                <w:sz w:val="24"/>
              </w:rPr>
              <w:t>mm</w:t>
            </w:r>
            <w:r>
              <w:rPr>
                <w:rFonts w:ascii="宋体" w:hAnsi="宋体"/>
                <w:bCs/>
                <w:sz w:val="24"/>
              </w:rPr>
              <w:t>）</w:t>
            </w:r>
          </w:p>
        </w:tc>
        <w:tc>
          <w:tcPr>
            <w:tcW w:w="4861" w:type="dxa"/>
            <w:vAlign w:val="center"/>
          </w:tcPr>
          <w:p>
            <w:pPr>
              <w:rPr>
                <w:rFonts w:ascii="宋体" w:hAnsi="宋体"/>
                <w:color w:val="000000"/>
                <w:sz w:val="24"/>
              </w:rPr>
            </w:pPr>
            <w:r>
              <w:rPr>
                <w:rFonts w:hint="eastAsia" w:ascii="宋体" w:hAnsi="宋体"/>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058" w:type="dxa"/>
          </w:tcPr>
          <w:p>
            <w:pPr>
              <w:rPr>
                <w:rFonts w:ascii="宋体" w:hAnsi="宋体"/>
                <w:bCs/>
                <w:sz w:val="24"/>
              </w:rPr>
            </w:pPr>
            <w:r>
              <w:rPr>
                <w:rFonts w:hint="eastAsia" w:ascii="宋体" w:hAnsi="宋体"/>
                <w:bCs/>
                <w:sz w:val="24"/>
              </w:rPr>
              <w:t>系统噪声</w:t>
            </w:r>
            <w:r>
              <w:rPr>
                <w:rFonts w:ascii="宋体" w:hAnsi="宋体"/>
                <w:bCs/>
                <w:sz w:val="24"/>
              </w:rPr>
              <w:t>dB(A</w:t>
            </w:r>
            <w:r>
              <w:rPr>
                <w:rFonts w:hint="eastAsia" w:ascii="宋体" w:hAnsi="宋体"/>
                <w:bCs/>
                <w:sz w:val="24"/>
              </w:rPr>
              <w:t>)</w:t>
            </w:r>
          </w:p>
        </w:tc>
        <w:tc>
          <w:tcPr>
            <w:tcW w:w="4861" w:type="dxa"/>
            <w:vAlign w:val="center"/>
          </w:tcPr>
          <w:p>
            <w:pPr>
              <w:rPr>
                <w:rFonts w:ascii="宋体" w:hAnsi="宋体"/>
                <w:color w:val="000000"/>
                <w:sz w:val="24"/>
              </w:rPr>
            </w:pPr>
            <w:r>
              <w:rPr>
                <w:rFonts w:hint="eastAsia" w:ascii="宋体" w:hAnsi="宋体"/>
                <w:color w:val="000000"/>
                <w:sz w:val="24"/>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058" w:type="dxa"/>
          </w:tcPr>
          <w:p>
            <w:pPr>
              <w:rPr>
                <w:rFonts w:ascii="宋体" w:hAnsi="宋体"/>
                <w:bCs/>
                <w:sz w:val="24"/>
              </w:rPr>
            </w:pPr>
            <w:r>
              <w:rPr>
                <w:rFonts w:hint="eastAsia" w:ascii="宋体" w:hAnsi="宋体"/>
                <w:bCs/>
                <w:sz w:val="24"/>
              </w:rPr>
              <w:t>钩心离地</w:t>
            </w:r>
            <w:r>
              <w:rPr>
                <w:rFonts w:ascii="宋体" w:hAnsi="宋体"/>
                <w:bCs/>
                <w:sz w:val="24"/>
              </w:rPr>
              <w:t>高</w:t>
            </w:r>
            <w:r>
              <w:rPr>
                <w:rFonts w:hint="eastAsia" w:ascii="宋体" w:hAnsi="宋体"/>
                <w:bCs/>
                <w:sz w:val="24"/>
              </w:rPr>
              <w:t>（mm</w:t>
            </w:r>
            <w:r>
              <w:rPr>
                <w:rFonts w:ascii="宋体" w:hAnsi="宋体"/>
                <w:bCs/>
                <w:sz w:val="24"/>
              </w:rPr>
              <w:t>）</w:t>
            </w:r>
          </w:p>
        </w:tc>
        <w:tc>
          <w:tcPr>
            <w:tcW w:w="4861" w:type="dxa"/>
            <w:vAlign w:val="center"/>
          </w:tcPr>
          <w:p>
            <w:pPr>
              <w:rPr>
                <w:rFonts w:ascii="宋体" w:hAnsi="宋体"/>
                <w:color w:val="000000"/>
                <w:sz w:val="24"/>
              </w:rPr>
            </w:pPr>
            <w:r>
              <w:rPr>
                <w:rFonts w:hint="eastAsia" w:ascii="宋体" w:hAnsi="宋体"/>
                <w:color w:val="000000"/>
                <w:sz w:val="24"/>
              </w:rPr>
              <w:t>1570（0～+5）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058" w:type="dxa"/>
          </w:tcPr>
          <w:p>
            <w:pPr>
              <w:rPr>
                <w:rFonts w:ascii="宋体" w:hAnsi="宋体"/>
                <w:bCs/>
                <w:sz w:val="24"/>
              </w:rPr>
            </w:pPr>
            <w:r>
              <w:rPr>
                <w:rFonts w:hint="eastAsia" w:ascii="宋体" w:hAnsi="宋体"/>
                <w:bCs/>
                <w:sz w:val="24"/>
              </w:rPr>
              <w:t>设备</w:t>
            </w:r>
            <w:r>
              <w:rPr>
                <w:rFonts w:ascii="宋体" w:hAnsi="宋体"/>
                <w:bCs/>
                <w:sz w:val="24"/>
              </w:rPr>
              <w:t>上下车最大高度</w:t>
            </w:r>
            <w:r>
              <w:rPr>
                <w:rFonts w:hint="eastAsia" w:ascii="宋体" w:hAnsi="宋体"/>
                <w:bCs/>
                <w:sz w:val="24"/>
              </w:rPr>
              <w:t>（mm</w:t>
            </w:r>
            <w:r>
              <w:rPr>
                <w:rFonts w:ascii="宋体" w:hAnsi="宋体"/>
                <w:bCs/>
                <w:sz w:val="24"/>
              </w:rPr>
              <w:t>）</w:t>
            </w:r>
          </w:p>
        </w:tc>
        <w:tc>
          <w:tcPr>
            <w:tcW w:w="4861" w:type="dxa"/>
            <w:vAlign w:val="center"/>
          </w:tcPr>
          <w:p>
            <w:pPr>
              <w:rPr>
                <w:rFonts w:ascii="宋体" w:hAnsi="宋体"/>
                <w:color w:val="000000"/>
                <w:sz w:val="24"/>
              </w:rPr>
            </w:pPr>
            <w:r>
              <w:rPr>
                <w:rFonts w:hint="eastAsia" w:ascii="宋体" w:hAnsi="宋体"/>
                <w:color w:val="000000"/>
                <w:sz w:val="24"/>
              </w:rPr>
              <w:t>4480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058" w:type="dxa"/>
          </w:tcPr>
          <w:p>
            <w:pPr>
              <w:rPr>
                <w:rFonts w:ascii="宋体" w:hAnsi="宋体"/>
                <w:bCs/>
                <w:sz w:val="24"/>
              </w:rPr>
            </w:pPr>
            <w:r>
              <w:rPr>
                <w:rFonts w:hint="eastAsia" w:ascii="宋体" w:hAnsi="宋体"/>
                <w:bCs/>
                <w:sz w:val="24"/>
              </w:rPr>
              <w:t>箱体</w:t>
            </w:r>
            <w:r>
              <w:rPr>
                <w:rFonts w:ascii="宋体" w:hAnsi="宋体"/>
                <w:bCs/>
                <w:sz w:val="24"/>
              </w:rPr>
              <w:t>滚轮外边缘宽度（</w:t>
            </w:r>
            <w:r>
              <w:rPr>
                <w:rFonts w:hint="eastAsia" w:ascii="宋体" w:hAnsi="宋体"/>
                <w:bCs/>
                <w:sz w:val="24"/>
              </w:rPr>
              <w:t>mm</w:t>
            </w:r>
            <w:r>
              <w:rPr>
                <w:rFonts w:ascii="宋体" w:hAnsi="宋体"/>
                <w:bCs/>
                <w:sz w:val="24"/>
              </w:rPr>
              <w:t>）</w:t>
            </w:r>
          </w:p>
        </w:tc>
        <w:tc>
          <w:tcPr>
            <w:tcW w:w="4861" w:type="dxa"/>
            <w:vAlign w:val="center"/>
          </w:tcPr>
          <w:p>
            <w:pPr>
              <w:rPr>
                <w:rFonts w:ascii="宋体" w:hAnsi="宋体"/>
                <w:color w:val="000000"/>
                <w:sz w:val="24"/>
              </w:rPr>
            </w:pPr>
            <w:r>
              <w:rPr>
                <w:rFonts w:hint="eastAsia" w:ascii="宋体" w:hAnsi="宋体"/>
                <w:color w:val="000000"/>
                <w:sz w:val="24"/>
              </w:rPr>
              <w:t>2040±5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058" w:type="dxa"/>
          </w:tcPr>
          <w:p>
            <w:pPr>
              <w:rPr>
                <w:rFonts w:ascii="宋体" w:hAnsi="宋体"/>
                <w:sz w:val="24"/>
              </w:rPr>
            </w:pPr>
            <w:r>
              <w:rPr>
                <w:rFonts w:hint="eastAsia" w:ascii="宋体" w:hAnsi="宋体"/>
                <w:bCs/>
                <w:sz w:val="24"/>
              </w:rPr>
              <w:t>垃圾提升装置</w:t>
            </w:r>
          </w:p>
        </w:tc>
        <w:tc>
          <w:tcPr>
            <w:tcW w:w="4861" w:type="dxa"/>
            <w:vAlign w:val="center"/>
          </w:tcPr>
          <w:p>
            <w:pPr>
              <w:rPr>
                <w:rFonts w:ascii="宋体" w:hAnsi="宋体"/>
                <w:color w:val="000000"/>
                <w:sz w:val="24"/>
              </w:rPr>
            </w:pPr>
            <w:r>
              <w:rPr>
                <w:rFonts w:hint="eastAsia" w:ascii="宋体" w:hAnsi="宋体"/>
                <w:color w:val="000000"/>
                <w:sz w:val="24"/>
              </w:rPr>
              <w:t>可提升容积为3.5m</w:t>
            </w:r>
            <w:r>
              <w:rPr>
                <w:rFonts w:hint="eastAsia" w:ascii="宋体" w:hAnsi="宋体"/>
                <w:color w:val="000000"/>
                <w:sz w:val="24"/>
                <w:vertAlign w:val="superscript"/>
              </w:rPr>
              <w:t>3</w:t>
            </w:r>
            <w:r>
              <w:rPr>
                <w:rFonts w:hint="eastAsia" w:ascii="宋体" w:hAnsi="宋体"/>
                <w:color w:val="000000"/>
                <w:sz w:val="24"/>
              </w:rPr>
              <w:t>受料斗装置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058" w:type="dxa"/>
          </w:tcPr>
          <w:p>
            <w:pPr>
              <w:rPr>
                <w:rFonts w:ascii="宋体" w:hAnsi="宋体"/>
                <w:sz w:val="24"/>
              </w:rPr>
            </w:pPr>
            <w:r>
              <w:rPr>
                <w:rFonts w:hint="eastAsia" w:ascii="宋体" w:hAnsi="宋体"/>
                <w:bCs/>
                <w:sz w:val="24"/>
              </w:rPr>
              <w:t>外接电源电压(V)</w:t>
            </w:r>
          </w:p>
        </w:tc>
        <w:tc>
          <w:tcPr>
            <w:tcW w:w="4861" w:type="dxa"/>
            <w:vAlign w:val="center"/>
          </w:tcPr>
          <w:p>
            <w:pPr>
              <w:rPr>
                <w:rFonts w:ascii="宋体" w:hAnsi="宋体"/>
                <w:color w:val="000000"/>
                <w:sz w:val="24"/>
              </w:rPr>
            </w:pPr>
            <w:r>
              <w:rPr>
                <w:rFonts w:hint="eastAsia" w:ascii="宋体" w:hAnsi="宋体"/>
                <w:color w:val="000000"/>
                <w:sz w:val="24"/>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058" w:type="dxa"/>
          </w:tcPr>
          <w:p>
            <w:pPr>
              <w:rPr>
                <w:rFonts w:ascii="宋体" w:hAnsi="宋体"/>
                <w:sz w:val="24"/>
              </w:rPr>
            </w:pPr>
            <w:r>
              <w:rPr>
                <w:rFonts w:hint="eastAsia" w:ascii="宋体" w:hAnsi="宋体"/>
                <w:bCs/>
                <w:sz w:val="24"/>
              </w:rPr>
              <w:t>电动机功率(kw)</w:t>
            </w:r>
          </w:p>
        </w:tc>
        <w:tc>
          <w:tcPr>
            <w:tcW w:w="4861" w:type="dxa"/>
            <w:vAlign w:val="center"/>
          </w:tcPr>
          <w:p>
            <w:pPr>
              <w:rPr>
                <w:rFonts w:ascii="宋体" w:hAnsi="宋体"/>
                <w:color w:val="000000"/>
                <w:sz w:val="24"/>
              </w:rPr>
            </w:pPr>
            <w:r>
              <w:rPr>
                <w:rFonts w:hint="eastAsia" w:ascii="宋体" w:hAnsi="宋体"/>
                <w:color w:val="000000"/>
                <w:sz w:val="24"/>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4058" w:type="dxa"/>
          </w:tcPr>
          <w:p>
            <w:pPr>
              <w:rPr>
                <w:rFonts w:ascii="宋体" w:hAnsi="宋体"/>
                <w:sz w:val="24"/>
              </w:rPr>
            </w:pPr>
            <w:r>
              <w:rPr>
                <w:rFonts w:hint="eastAsia" w:ascii="宋体" w:hAnsi="宋体"/>
                <w:bCs/>
                <w:sz w:val="24"/>
              </w:rPr>
              <w:t>后门启闭方式</w:t>
            </w:r>
          </w:p>
        </w:tc>
        <w:tc>
          <w:tcPr>
            <w:tcW w:w="4861" w:type="dxa"/>
            <w:vAlign w:val="center"/>
          </w:tcPr>
          <w:p>
            <w:pPr>
              <w:rPr>
                <w:rFonts w:ascii="宋体" w:hAnsi="宋体"/>
                <w:color w:val="000000"/>
                <w:sz w:val="24"/>
              </w:rPr>
            </w:pPr>
            <w:r>
              <w:rPr>
                <w:rFonts w:hint="eastAsia" w:ascii="宋体" w:hAnsi="宋体"/>
                <w:color w:val="000000"/>
                <w:sz w:val="24"/>
              </w:rPr>
              <w:t>采用底盘动力，快换接头插接控制液压油缸启闭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4058" w:type="dxa"/>
          </w:tcPr>
          <w:p>
            <w:pPr>
              <w:rPr>
                <w:rFonts w:ascii="宋体" w:hAnsi="宋体"/>
                <w:sz w:val="24"/>
              </w:rPr>
            </w:pPr>
            <w:r>
              <w:rPr>
                <w:rFonts w:hint="eastAsia" w:ascii="宋体" w:hAnsi="宋体"/>
                <w:bCs/>
                <w:sz w:val="24"/>
              </w:rPr>
              <w:t>操作方式</w:t>
            </w:r>
          </w:p>
        </w:tc>
        <w:tc>
          <w:tcPr>
            <w:tcW w:w="4861" w:type="dxa"/>
            <w:vAlign w:val="center"/>
          </w:tcPr>
          <w:p>
            <w:pPr>
              <w:rPr>
                <w:rFonts w:ascii="宋体" w:hAnsi="宋体"/>
                <w:color w:val="000000"/>
                <w:sz w:val="24"/>
              </w:rPr>
            </w:pPr>
            <w:r>
              <w:rPr>
                <w:rFonts w:hint="eastAsia" w:ascii="宋体" w:hAnsi="宋体"/>
                <w:color w:val="000000"/>
                <w:sz w:val="24"/>
              </w:rPr>
              <w:t>面板控制、线控</w:t>
            </w:r>
          </w:p>
        </w:tc>
      </w:tr>
    </w:tbl>
    <w:p>
      <w:pPr>
        <w:numPr>
          <w:ilvl w:val="0"/>
          <w:numId w:val="4"/>
        </w:numPr>
        <w:spacing w:line="360" w:lineRule="auto"/>
        <w:rPr>
          <w:rFonts w:ascii="宋体" w:hAnsi="宋体"/>
          <w:b/>
          <w:sz w:val="32"/>
          <w:szCs w:val="32"/>
        </w:rPr>
      </w:pPr>
      <w:r>
        <w:rPr>
          <w:rFonts w:cs="宋体"/>
          <w:b/>
          <w:sz w:val="28"/>
          <w:szCs w:val="28"/>
        </w:rPr>
        <w:t>技术参数及要求</w:t>
      </w:r>
    </w:p>
    <w:p>
      <w:pPr>
        <w:rPr>
          <w:rFonts w:ascii="宋体" w:hAnsi="宋体"/>
          <w:b/>
          <w:bCs/>
          <w:sz w:val="28"/>
          <w:szCs w:val="28"/>
        </w:rPr>
      </w:pPr>
      <w:r>
        <w:rPr>
          <w:rFonts w:hint="eastAsia" w:ascii="宋体" w:hAnsi="宋体"/>
          <w:b/>
          <w:bCs/>
          <w:sz w:val="28"/>
          <w:szCs w:val="28"/>
        </w:rPr>
        <w:t>主要性能描述</w:t>
      </w:r>
    </w:p>
    <w:p>
      <w:pPr>
        <w:snapToGrid w:val="0"/>
        <w:spacing w:line="360" w:lineRule="auto"/>
        <w:ind w:firstLine="480" w:firstLineChars="200"/>
        <w:rPr>
          <w:rFonts w:ascii="宋体" w:hAnsi="宋体" w:cs="宋体"/>
          <w:kern w:val="0"/>
          <w:sz w:val="24"/>
        </w:rPr>
      </w:pPr>
      <w:r>
        <w:rPr>
          <w:rFonts w:hint="eastAsia" w:ascii="宋体" w:hAnsi="宋体" w:cs="宋体"/>
          <w:kern w:val="0"/>
          <w:sz w:val="24"/>
        </w:rPr>
        <w:t>（1）箱体整体轻量化设计采用高强度耐磨钢板及高强度耐候钢板整体焊接制作而成，压缩箱与垃圾箱采用无框架连接，加强筋少，外形美观，自重轻，结构强度高，耐腐蚀；</w:t>
      </w:r>
    </w:p>
    <w:p>
      <w:pPr>
        <w:snapToGrid w:val="0"/>
        <w:spacing w:line="360" w:lineRule="auto"/>
        <w:ind w:firstLine="480" w:firstLineChars="200"/>
        <w:rPr>
          <w:rFonts w:ascii="宋体" w:hAnsi="宋体" w:cs="宋体"/>
          <w:kern w:val="0"/>
          <w:sz w:val="24"/>
        </w:rPr>
      </w:pPr>
      <w:r>
        <w:rPr>
          <w:rFonts w:hint="eastAsia" w:ascii="宋体" w:hAnsi="宋体" w:cs="宋体"/>
          <w:kern w:val="0"/>
          <w:sz w:val="24"/>
        </w:rPr>
        <w:t>（2）压缩机构采用轻量化设计，联动板整体折弯而成，强度好、自重轻、焊接少，压缩头采用双曲线形设计，采用高强度耐磨钢板及高强度钢板整体焊接而成，有效提高压缩头对垃圾的破碎与压缩效率，油缸交叉布置，采用开放式铰接座，有效降低了维修的难度；</w:t>
      </w:r>
    </w:p>
    <w:p>
      <w:pPr>
        <w:snapToGrid w:val="0"/>
        <w:spacing w:line="360" w:lineRule="auto"/>
        <w:ind w:firstLine="480" w:firstLineChars="200"/>
        <w:rPr>
          <w:rFonts w:ascii="宋体" w:hAnsi="宋体" w:cs="宋体"/>
          <w:kern w:val="0"/>
          <w:sz w:val="24"/>
        </w:rPr>
      </w:pPr>
      <w:r>
        <w:rPr>
          <w:rFonts w:hint="eastAsia" w:ascii="宋体" w:hAnsi="宋体" w:cs="宋体"/>
          <w:kern w:val="0"/>
          <w:sz w:val="24"/>
        </w:rPr>
        <w:t>（3）配备自动强制风冷器对液压系统进行温度控制，当温度达到设计值时，风冷器自动运行已达到降低油温，当油温小于设定值时，风冷器自动关闭，节约用电，风冷器与仓门紧密贴合，有效的排除仓内热风，高温季节可露天进行大负荷连续垃圾送料、压缩；</w:t>
      </w:r>
    </w:p>
    <w:p>
      <w:pPr>
        <w:snapToGrid w:val="0"/>
        <w:spacing w:line="360" w:lineRule="auto"/>
        <w:ind w:firstLine="480" w:firstLineChars="200"/>
        <w:rPr>
          <w:rFonts w:ascii="宋体" w:hAnsi="宋体" w:cs="宋体"/>
          <w:kern w:val="0"/>
          <w:sz w:val="24"/>
        </w:rPr>
      </w:pPr>
      <w:r>
        <w:rPr>
          <w:rFonts w:hint="eastAsia" w:ascii="宋体" w:hAnsi="宋体" w:cs="宋体"/>
          <w:kern w:val="0"/>
          <w:sz w:val="24"/>
        </w:rPr>
        <w:t xml:space="preserve">（4）配置安全保障装置，安全装置包括： </w:t>
      </w:r>
    </w:p>
    <w:p>
      <w:pPr>
        <w:snapToGrid w:val="0"/>
        <w:spacing w:line="360" w:lineRule="auto"/>
        <w:ind w:firstLine="480" w:firstLineChars="200"/>
        <w:rPr>
          <w:rFonts w:ascii="宋体" w:hAnsi="宋体" w:cs="宋体"/>
          <w:kern w:val="0"/>
          <w:sz w:val="24"/>
        </w:rPr>
      </w:pPr>
      <w:r>
        <w:rPr>
          <w:rFonts w:hint="eastAsia" w:ascii="宋体" w:hAnsi="宋体" w:cs="宋体"/>
          <w:kern w:val="0"/>
          <w:sz w:val="24"/>
        </w:rPr>
        <w:t>A.配备总电源钥匙锁和全箱紧急停止按钮，提高作业安全性能；</w:t>
      </w:r>
    </w:p>
    <w:p>
      <w:pPr>
        <w:snapToGrid w:val="0"/>
        <w:spacing w:line="360" w:lineRule="auto"/>
        <w:ind w:firstLine="480" w:firstLineChars="200"/>
        <w:rPr>
          <w:rFonts w:ascii="宋体" w:hAnsi="宋体" w:cs="宋体"/>
          <w:kern w:val="0"/>
          <w:sz w:val="24"/>
        </w:rPr>
      </w:pPr>
      <w:r>
        <w:rPr>
          <w:rFonts w:hint="eastAsia" w:ascii="宋体" w:hAnsi="宋体" w:cs="宋体"/>
          <w:kern w:val="0"/>
          <w:sz w:val="24"/>
        </w:rPr>
        <w:t>B.摆臂油缸配备有安全装置，保证料斗在动作过程中不会因为突然爆管而引起料斗下降的安全隐患</w:t>
      </w:r>
    </w:p>
    <w:p>
      <w:pPr>
        <w:snapToGrid w:val="0"/>
        <w:spacing w:line="360" w:lineRule="auto"/>
        <w:ind w:firstLine="480" w:firstLineChars="200"/>
        <w:rPr>
          <w:rFonts w:ascii="宋体" w:hAnsi="宋体" w:cs="宋体"/>
          <w:kern w:val="0"/>
          <w:sz w:val="24"/>
        </w:rPr>
      </w:pPr>
      <w:r>
        <w:rPr>
          <w:rFonts w:hint="eastAsia" w:ascii="宋体" w:hAnsi="宋体" w:cs="宋体"/>
          <w:kern w:val="0"/>
          <w:sz w:val="24"/>
        </w:rPr>
        <w:t>（5）采用文本PLC微电脑控制，系统运行稳定可靠、智能化程度高。各动作间多重互锁，设备运行一键式操作，具备生产运行参数可调功能，可根据垃圾装载情况自动调整压缩程序；</w:t>
      </w:r>
    </w:p>
    <w:p>
      <w:pPr>
        <w:snapToGrid w:val="0"/>
        <w:spacing w:line="360" w:lineRule="auto"/>
        <w:ind w:firstLine="480" w:firstLineChars="200"/>
        <w:rPr>
          <w:rFonts w:ascii="宋体" w:hAnsi="宋体" w:cs="宋体"/>
          <w:kern w:val="0"/>
          <w:sz w:val="24"/>
        </w:rPr>
      </w:pPr>
      <w:r>
        <w:rPr>
          <w:rFonts w:hint="eastAsia" w:ascii="宋体" w:hAnsi="宋体" w:cs="宋体"/>
          <w:kern w:val="0"/>
          <w:sz w:val="24"/>
        </w:rPr>
        <w:t>（6）通过文本显示屏实时监控系统当前运行情况，箱体满载指示，实时显示系统压力、设备运行状态；具备设备异常自诊断及故障报警声光提醒与文字显示功能，方便操作与维修人员判断设备异常原因并及时准确检修处理；具备保养分阶段提示功能，保证设备处于最佳运行状态；具有系统整体运行情况及故障报警情况的记录汇总与统计分析功能，更容易对设备整体运行情况进行监督管理；</w:t>
      </w:r>
    </w:p>
    <w:p>
      <w:pPr>
        <w:snapToGrid w:val="0"/>
        <w:spacing w:line="360" w:lineRule="auto"/>
        <w:ind w:firstLine="480" w:firstLineChars="200"/>
        <w:rPr>
          <w:rFonts w:ascii="宋体" w:hAnsi="宋体" w:cs="宋体"/>
          <w:kern w:val="0"/>
          <w:sz w:val="24"/>
        </w:rPr>
      </w:pPr>
      <w:r>
        <w:rPr>
          <w:rFonts w:hint="eastAsia" w:ascii="宋体" w:hAnsi="宋体" w:cs="宋体"/>
          <w:kern w:val="0"/>
          <w:sz w:val="24"/>
        </w:rPr>
        <w:t>（7）箱体后门密封液控双重锁钩锁紧装置，后门密封可调节装置，确保运输过程中不会发生二次污染；</w:t>
      </w:r>
    </w:p>
    <w:p>
      <w:pPr>
        <w:snapToGrid w:val="0"/>
        <w:spacing w:line="360" w:lineRule="auto"/>
        <w:ind w:firstLine="480" w:firstLineChars="200"/>
        <w:rPr>
          <w:rFonts w:ascii="宋体" w:hAnsi="宋体" w:cs="宋体"/>
          <w:kern w:val="0"/>
          <w:sz w:val="24"/>
        </w:rPr>
      </w:pPr>
      <w:r>
        <w:rPr>
          <w:rFonts w:hint="eastAsia" w:ascii="宋体" w:hAnsi="宋体" w:cs="宋体"/>
          <w:kern w:val="0"/>
          <w:sz w:val="24"/>
        </w:rPr>
        <w:t>（8）采用底盘液压驱动(或选装动力单元液压驱动)，控制液压油缸启闭后门，在驾驶室内即可操作完成后门的启闭及垃圾倾卸；</w:t>
      </w:r>
    </w:p>
    <w:p>
      <w:pPr>
        <w:snapToGrid w:val="0"/>
        <w:spacing w:line="360" w:lineRule="auto"/>
        <w:ind w:firstLine="480" w:firstLineChars="200"/>
        <w:rPr>
          <w:rFonts w:ascii="宋体" w:hAnsi="宋体" w:cs="宋体"/>
          <w:kern w:val="0"/>
          <w:sz w:val="24"/>
        </w:rPr>
      </w:pPr>
      <w:r>
        <w:rPr>
          <w:rFonts w:hint="eastAsia" w:ascii="宋体" w:hAnsi="宋体" w:cs="宋体"/>
          <w:kern w:val="0"/>
          <w:sz w:val="24"/>
        </w:rPr>
        <w:t xml:space="preserve">（9）上料机构具有自动缓冲装置，避免上料作业时受料斗与地面的冲击 以及受料斗翻转到位对箱体的冲击； </w:t>
      </w:r>
    </w:p>
    <w:p>
      <w:pPr>
        <w:snapToGrid w:val="0"/>
        <w:spacing w:line="360" w:lineRule="auto"/>
        <w:ind w:firstLine="480" w:firstLineChars="200"/>
        <w:rPr>
          <w:rFonts w:ascii="宋体" w:hAnsi="宋体" w:cs="宋体"/>
          <w:kern w:val="0"/>
          <w:sz w:val="24"/>
        </w:rPr>
      </w:pPr>
      <w:r>
        <w:rPr>
          <w:rFonts w:hint="eastAsia" w:ascii="宋体" w:hAnsi="宋体" w:cs="宋体"/>
          <w:kern w:val="0"/>
          <w:sz w:val="24"/>
        </w:rPr>
        <w:t>（10）受料斗有效容积3.5立方，采用整体压筋拼焊而成，加强筋少，自重轻，可与更多类型的散装垃圾收运车辆对接（包括垃圾箱容积为3立方左右的自卸式垃圾车），适用性更好。</w:t>
      </w:r>
    </w:p>
    <w:p>
      <w:pPr>
        <w:pStyle w:val="10"/>
        <w:spacing w:line="360" w:lineRule="auto"/>
        <w:rPr>
          <w:rFonts w:hAnsi="宋体" w:cs="宋体"/>
          <w:b/>
        </w:rPr>
      </w:pPr>
      <w:bookmarkStart w:id="2" w:name="_Toc28550"/>
      <w:r>
        <w:rPr>
          <w:rFonts w:hint="eastAsia" w:hAnsi="宋体" w:cs="宋体"/>
          <w:b/>
        </w:rPr>
        <w:t>三、商务要求</w:t>
      </w:r>
    </w:p>
    <w:p>
      <w:pPr>
        <w:snapToGrid w:val="0"/>
        <w:spacing w:line="360" w:lineRule="auto"/>
        <w:rPr>
          <w:rFonts w:ascii="宋体" w:hAnsi="宋体" w:cs="宋体"/>
          <w:b/>
          <w:bCs/>
          <w:sz w:val="24"/>
        </w:rPr>
      </w:pPr>
      <w:r>
        <w:rPr>
          <w:rFonts w:hint="eastAsia" w:ascii="宋体" w:hAnsi="宋体" w:cs="宋体"/>
          <w:b/>
          <w:bCs/>
          <w:sz w:val="24"/>
        </w:rPr>
        <w:t>1、项目投标报价要求</w:t>
      </w:r>
    </w:p>
    <w:p>
      <w:pPr>
        <w:snapToGrid w:val="0"/>
        <w:spacing w:line="360" w:lineRule="auto"/>
        <w:ind w:left="210" w:leftChars="100" w:firstLine="240" w:firstLineChars="100"/>
        <w:rPr>
          <w:rFonts w:ascii="宋体" w:hAnsi="宋体" w:cs="宋体"/>
          <w:sz w:val="24"/>
        </w:rPr>
      </w:pPr>
      <w:r>
        <w:rPr>
          <w:rFonts w:hint="eastAsia" w:ascii="宋体" w:hAnsi="宋体" w:cs="宋体"/>
          <w:sz w:val="24"/>
        </w:rPr>
        <w:t>（1）投标报价应包含完成本项目合同内容所涉及的全部费用，包含但不仅限于所</w:t>
      </w:r>
    </w:p>
    <w:p>
      <w:pPr>
        <w:snapToGrid w:val="0"/>
        <w:spacing w:line="360" w:lineRule="auto"/>
        <w:rPr>
          <w:rFonts w:ascii="宋体" w:hAnsi="宋体" w:cs="宋体"/>
          <w:sz w:val="24"/>
        </w:rPr>
      </w:pPr>
      <w:r>
        <w:rPr>
          <w:rFonts w:hint="eastAsia" w:ascii="宋体" w:hAnsi="宋体" w:cs="宋体"/>
          <w:sz w:val="24"/>
        </w:rPr>
        <w:t>需软件的设计、开发、优化、安装、平台对接、上线调试、试运行管理、技术培训、验收配合、第三方检测（如需）、售后服务以及完成采购需求所涉及的其他一切内容所需的全部费用，以及税金、人工费、管理费、合理利润、风险费、投标费用、招标代理费等一切成本及费用。谈判响应方的谈判报价为整个采购项目的总报价，如有漏项，视同已包含在项目中，合同总价不做调整。</w:t>
      </w:r>
    </w:p>
    <w:p>
      <w:pPr>
        <w:snapToGrid w:val="0"/>
        <w:spacing w:line="360" w:lineRule="auto"/>
        <w:ind w:left="210" w:leftChars="100" w:firstLine="240" w:firstLineChars="100"/>
        <w:rPr>
          <w:rFonts w:ascii="宋体" w:hAnsi="宋体" w:cs="宋体"/>
          <w:sz w:val="24"/>
        </w:rPr>
      </w:pPr>
      <w:r>
        <w:rPr>
          <w:rFonts w:hint="eastAsia" w:ascii="宋体" w:hAnsi="宋体" w:cs="宋体"/>
          <w:sz w:val="24"/>
        </w:rPr>
        <w:t>（2）按国家规定由中标人缴纳的各种税收已包含在投标总价内，由中标人向税务</w:t>
      </w:r>
    </w:p>
    <w:p>
      <w:pPr>
        <w:snapToGrid w:val="0"/>
        <w:spacing w:line="360" w:lineRule="auto"/>
        <w:rPr>
          <w:rFonts w:ascii="宋体" w:hAnsi="宋体" w:cs="宋体"/>
          <w:sz w:val="24"/>
        </w:rPr>
      </w:pPr>
      <w:r>
        <w:rPr>
          <w:rFonts w:hint="eastAsia" w:ascii="宋体" w:hAnsi="宋体" w:cs="宋体"/>
          <w:sz w:val="24"/>
        </w:rPr>
        <w:t>机关缴纳。</w:t>
      </w:r>
    </w:p>
    <w:p>
      <w:pPr>
        <w:snapToGrid w:val="0"/>
        <w:spacing w:line="360" w:lineRule="auto"/>
        <w:rPr>
          <w:rFonts w:ascii="宋体" w:hAnsi="宋体" w:cs="宋体"/>
          <w:b/>
          <w:bCs/>
          <w:kern w:val="0"/>
          <w:sz w:val="24"/>
        </w:rPr>
      </w:pPr>
      <w:r>
        <w:rPr>
          <w:rFonts w:hint="eastAsia" w:ascii="宋体" w:hAnsi="宋体" w:cs="宋体"/>
          <w:b/>
          <w:bCs/>
          <w:kern w:val="0"/>
          <w:sz w:val="24"/>
        </w:rPr>
        <w:t>2、售后服务要求</w:t>
      </w:r>
    </w:p>
    <w:p>
      <w:pPr>
        <w:snapToGrid w:val="0"/>
        <w:spacing w:line="360" w:lineRule="auto"/>
        <w:ind w:firstLine="480" w:firstLineChars="200"/>
        <w:rPr>
          <w:rFonts w:ascii="宋体" w:hAnsi="宋体" w:cs="宋体"/>
          <w:kern w:val="0"/>
          <w:sz w:val="24"/>
        </w:rPr>
      </w:pPr>
      <w:r>
        <w:rPr>
          <w:rFonts w:hint="eastAsia" w:ascii="宋体" w:hAnsi="宋体" w:cs="宋体"/>
          <w:sz w:val="24"/>
        </w:rPr>
        <w:t>（1）</w:t>
      </w:r>
      <w:r>
        <w:rPr>
          <w:rFonts w:hint="eastAsia" w:ascii="宋体" w:hAnsi="宋体" w:cs="宋体"/>
          <w:kern w:val="0"/>
          <w:sz w:val="24"/>
        </w:rPr>
        <w:t>服务响应及维护：提供7×24×365全天侯服务，及时解决故障。电话半小时内必须响应，现场排除故障响应时间小于8小时，24小时内恢复系统正常运行。重大技术问题，技术专家2小时内抵达现场，4小时内给予解决；若短期无法解决的，应及时提供应急措施，并提出书面解决方案报采购人批准。</w:t>
      </w:r>
    </w:p>
    <w:p>
      <w:pPr>
        <w:snapToGrid w:val="0"/>
        <w:spacing w:line="360" w:lineRule="auto"/>
        <w:ind w:firstLine="480" w:firstLineChars="200"/>
        <w:rPr>
          <w:rFonts w:ascii="宋体" w:hAnsi="宋体" w:cs="宋体"/>
          <w:b/>
          <w:bCs/>
          <w:sz w:val="24"/>
        </w:rPr>
      </w:pPr>
      <w:r>
        <w:rPr>
          <w:rFonts w:hint="eastAsia" w:ascii="宋体" w:hAnsi="宋体" w:cs="宋体"/>
          <w:sz w:val="24"/>
        </w:rPr>
        <w:t>（2）</w:t>
      </w:r>
      <w:r>
        <w:rPr>
          <w:rFonts w:hint="eastAsia" w:ascii="宋体" w:hAnsi="宋体" w:cs="宋体"/>
          <w:kern w:val="0"/>
          <w:sz w:val="24"/>
        </w:rPr>
        <w:t>投标人必须保证解决项目所涉及的技术问题，如因技术原因无法满足采购人需求，由此产生的风险由投标人承担。</w:t>
      </w:r>
    </w:p>
    <w:p>
      <w:pPr>
        <w:snapToGrid w:val="0"/>
        <w:spacing w:line="360" w:lineRule="auto"/>
        <w:rPr>
          <w:rFonts w:ascii="宋体" w:hAnsi="宋体" w:cs="宋体"/>
          <w:b/>
          <w:bCs/>
          <w:sz w:val="24"/>
        </w:rPr>
      </w:pPr>
      <w:r>
        <w:rPr>
          <w:rFonts w:hint="eastAsia" w:ascii="宋体" w:hAnsi="宋体" w:cs="宋体"/>
          <w:b/>
          <w:bCs/>
          <w:sz w:val="24"/>
        </w:rPr>
        <w:t>3、质保期、工期</w:t>
      </w:r>
    </w:p>
    <w:p>
      <w:pPr>
        <w:snapToGrid w:val="0"/>
        <w:spacing w:line="360" w:lineRule="auto"/>
        <w:ind w:left="210" w:leftChars="100" w:firstLine="241" w:firstLineChars="100"/>
        <w:rPr>
          <w:rFonts w:ascii="宋体" w:hAnsi="宋体" w:cs="宋体"/>
          <w:b/>
          <w:bCs/>
          <w:sz w:val="24"/>
        </w:rPr>
      </w:pPr>
      <w:r>
        <w:rPr>
          <w:rFonts w:hint="eastAsia" w:ascii="宋体" w:hAnsi="宋体" w:cs="宋体"/>
          <w:b/>
          <w:bCs/>
          <w:sz w:val="24"/>
        </w:rPr>
        <w:t>（1）质保期：1年；免费保修期：3年。</w:t>
      </w:r>
    </w:p>
    <w:p>
      <w:pPr>
        <w:snapToGrid w:val="0"/>
        <w:spacing w:line="360" w:lineRule="auto"/>
        <w:ind w:left="210" w:leftChars="100" w:firstLine="241" w:firstLineChars="100"/>
        <w:rPr>
          <w:rFonts w:ascii="宋体" w:hAnsi="宋体" w:cs="宋体"/>
          <w:sz w:val="24"/>
        </w:rPr>
      </w:pPr>
      <w:r>
        <w:rPr>
          <w:rFonts w:hint="eastAsia" w:ascii="宋体" w:hAnsi="宋体" w:cs="宋体"/>
          <w:b/>
          <w:bCs/>
          <w:sz w:val="24"/>
        </w:rPr>
        <w:t>（2）工期：10月</w:t>
      </w:r>
      <w:r>
        <w:rPr>
          <w:rFonts w:ascii="宋体" w:hAnsi="宋体" w:cs="宋体"/>
          <w:b/>
          <w:bCs/>
          <w:sz w:val="24"/>
        </w:rPr>
        <w:t>15</w:t>
      </w:r>
      <w:r>
        <w:rPr>
          <w:rFonts w:hint="eastAsia" w:ascii="宋体" w:hAnsi="宋体" w:cs="宋体"/>
          <w:b/>
          <w:bCs/>
          <w:sz w:val="24"/>
        </w:rPr>
        <w:t>日</w:t>
      </w:r>
      <w:r>
        <w:rPr>
          <w:rFonts w:hint="eastAsia" w:ascii="宋体" w:hAnsi="宋体"/>
          <w:b/>
          <w:bCs/>
          <w:sz w:val="24"/>
        </w:rPr>
        <w:t>前安装调试完毕</w:t>
      </w:r>
      <w:r>
        <w:rPr>
          <w:rFonts w:hint="eastAsia" w:ascii="宋体" w:hAnsi="宋体" w:cs="宋体"/>
          <w:b/>
          <w:bCs/>
          <w:sz w:val="24"/>
        </w:rPr>
        <w:t>。</w:t>
      </w:r>
      <w:bookmarkStart w:id="3" w:name="_Toc225061454"/>
    </w:p>
    <w:p>
      <w:pPr>
        <w:pStyle w:val="53"/>
        <w:spacing w:before="78" w:after="78"/>
        <w:jc w:val="left"/>
        <w:rPr>
          <w:rFonts w:ascii="宋体" w:hAnsi="宋体" w:cs="宋体"/>
          <w:b/>
          <w:bCs/>
          <w:szCs w:val="24"/>
        </w:rPr>
      </w:pPr>
      <w:r>
        <w:rPr>
          <w:rFonts w:hint="eastAsia" w:ascii="宋体" w:hAnsi="宋体" w:cs="宋体"/>
          <w:b/>
          <w:bCs/>
          <w:szCs w:val="24"/>
        </w:rPr>
        <w:t>4、付款方式</w:t>
      </w:r>
    </w:p>
    <w:p>
      <w:pPr>
        <w:spacing w:line="360" w:lineRule="auto"/>
        <w:ind w:firstLine="480" w:firstLineChars="200"/>
        <w:rPr>
          <w:rFonts w:ascii="宋体" w:hAnsi="宋体"/>
          <w:sz w:val="24"/>
        </w:rPr>
      </w:pPr>
      <w:r>
        <w:rPr>
          <w:rFonts w:hint="eastAsia" w:ascii="宋体" w:hAnsi="宋体"/>
          <w:sz w:val="24"/>
        </w:rPr>
        <w:t>货款由采购人自行支付。全部货物安装完毕并验收合格后付至合同总额的95%；留5%作为质量保证金，在质保期履行满1年后10日内付清。</w:t>
      </w:r>
    </w:p>
    <w:p>
      <w:pPr>
        <w:snapToGrid w:val="0"/>
        <w:spacing w:line="360" w:lineRule="auto"/>
        <w:ind w:left="210" w:leftChars="100" w:firstLine="480" w:firstLineChars="200"/>
        <w:rPr>
          <w:rFonts w:ascii="宋体" w:hAnsi="宋体" w:cs="宋体"/>
          <w:sz w:val="24"/>
        </w:rPr>
      </w:pPr>
    </w:p>
    <w:bookmarkEnd w:id="3"/>
    <w:p>
      <w:pPr>
        <w:pStyle w:val="44"/>
        <w:pageBreakBefore/>
        <w:snapToGrid w:val="0"/>
        <w:spacing w:line="360" w:lineRule="auto"/>
        <w:jc w:val="center"/>
        <w:outlineLvl w:val="0"/>
        <w:rPr>
          <w:rFonts w:asciiTheme="minorEastAsia" w:hAnsiTheme="minorEastAsia" w:eastAsiaTheme="minorEastAsia"/>
          <w:b/>
          <w:color w:val="000000" w:themeColor="text1"/>
          <w:sz w:val="32"/>
          <w:szCs w:val="32"/>
          <w14:textFill>
            <w14:solidFill>
              <w14:schemeClr w14:val="tx1"/>
            </w14:solidFill>
          </w14:textFill>
        </w:rPr>
      </w:pPr>
      <w:r>
        <w:rPr>
          <w:rFonts w:asciiTheme="minorEastAsia" w:hAnsiTheme="minorEastAsia" w:eastAsiaTheme="minorEastAsia"/>
          <w:b/>
          <w:color w:val="000000" w:themeColor="text1"/>
          <w:sz w:val="32"/>
          <w:szCs w:val="32"/>
          <w14:textFill>
            <w14:solidFill>
              <w14:schemeClr w14:val="tx1"/>
            </w14:solidFill>
          </w14:textFill>
        </w:rPr>
        <w:t xml:space="preserve">第三章  </w:t>
      </w:r>
      <w:bookmarkEnd w:id="2"/>
      <w:bookmarkStart w:id="4" w:name="_Toc10818"/>
      <w:r>
        <w:rPr>
          <w:rFonts w:hint="eastAsia" w:asciiTheme="minorEastAsia" w:hAnsiTheme="minorEastAsia" w:eastAsiaTheme="minorEastAsia"/>
          <w:b/>
          <w:sz w:val="32"/>
          <w:szCs w:val="32"/>
        </w:rPr>
        <w:t>竞争性谈判须知</w:t>
      </w:r>
      <w:bookmarkEnd w:id="4"/>
    </w:p>
    <w:p>
      <w:pPr>
        <w:spacing w:line="360" w:lineRule="auto"/>
        <w:jc w:val="center"/>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前附表</w:t>
      </w:r>
    </w:p>
    <w:tbl>
      <w:tblPr>
        <w:tblStyle w:val="21"/>
        <w:tblW w:w="9542" w:type="dxa"/>
        <w:jc w:val="center"/>
        <w:tblLayout w:type="fixed"/>
        <w:tblCellMar>
          <w:top w:w="0" w:type="dxa"/>
          <w:left w:w="108" w:type="dxa"/>
          <w:bottom w:w="0" w:type="dxa"/>
          <w:right w:w="108" w:type="dxa"/>
        </w:tblCellMar>
      </w:tblPr>
      <w:tblGrid>
        <w:gridCol w:w="778"/>
        <w:gridCol w:w="8764"/>
      </w:tblGrid>
      <w:tr>
        <w:tblPrEx>
          <w:tblCellMar>
            <w:top w:w="0" w:type="dxa"/>
            <w:left w:w="108" w:type="dxa"/>
            <w:bottom w:w="0" w:type="dxa"/>
            <w:right w:w="108" w:type="dxa"/>
          </w:tblCellMar>
        </w:tblPrEx>
        <w:trPr>
          <w:trHeight w:val="9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序号</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内容、要求</w:t>
            </w:r>
          </w:p>
        </w:tc>
      </w:tr>
      <w:tr>
        <w:tblPrEx>
          <w:tblCellMar>
            <w:top w:w="0" w:type="dxa"/>
            <w:left w:w="108" w:type="dxa"/>
            <w:bottom w:w="0" w:type="dxa"/>
            <w:right w:w="108" w:type="dxa"/>
          </w:tblCellMar>
        </w:tblPrEx>
        <w:trPr>
          <w:trHeight w:val="102"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项目名称：</w:t>
            </w:r>
            <w:r>
              <w:rPr>
                <w:rFonts w:hint="eastAsia" w:ascii="宋体" w:hAnsi="宋体" w:cs="宋体"/>
                <w:color w:val="000000" w:themeColor="text1"/>
                <w:sz w:val="24"/>
                <w14:textFill>
                  <w14:solidFill>
                    <w14:schemeClr w14:val="tx1"/>
                  </w14:solidFill>
                </w14:textFill>
              </w:rPr>
              <w:t>浙江广厦建设职业技术大学移动式垃圾压缩机</w:t>
            </w:r>
          </w:p>
        </w:tc>
      </w:tr>
      <w:tr>
        <w:tblPrEx>
          <w:tblCellMar>
            <w:top w:w="0" w:type="dxa"/>
            <w:left w:w="108" w:type="dxa"/>
            <w:bottom w:w="0" w:type="dxa"/>
            <w:right w:w="108" w:type="dxa"/>
          </w:tblCellMar>
        </w:tblPrEx>
        <w:trPr>
          <w:trHeight w:val="203"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sz w:val="24"/>
              </w:rPr>
              <w:t>谈判报价及费用：1、本项目谈判应以人民币报价；2、不论谈判结果如何，谈判响应方均应自行承担所有与谈判有关的全部费用；</w:t>
            </w:r>
          </w:p>
        </w:tc>
      </w:tr>
      <w:tr>
        <w:tblPrEx>
          <w:tblCellMar>
            <w:top w:w="0" w:type="dxa"/>
            <w:left w:w="108" w:type="dxa"/>
            <w:bottom w:w="0" w:type="dxa"/>
            <w:right w:w="108" w:type="dxa"/>
          </w:tblCellMar>
        </w:tblPrEx>
        <w:trPr>
          <w:trHeight w:val="102"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答疑与澄清：投标截止时间1日前，招标人在公告栏上以书面形式公布招标文件的澄清或修改，并通知所有的投标人。</w:t>
            </w:r>
          </w:p>
        </w:tc>
      </w:tr>
      <w:tr>
        <w:tblPrEx>
          <w:tblCellMar>
            <w:top w:w="0" w:type="dxa"/>
            <w:left w:w="108" w:type="dxa"/>
            <w:bottom w:w="0" w:type="dxa"/>
            <w:right w:w="108" w:type="dxa"/>
          </w:tblCellMar>
        </w:tblPrEx>
        <w:trPr>
          <w:trHeight w:val="102"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ascii="宋体" w:hAnsi="宋体" w:cs="宋体"/>
                <w:sz w:val="24"/>
              </w:rPr>
            </w:pPr>
            <w:r>
              <w:rPr>
                <w:rFonts w:hint="eastAsia" w:ascii="宋体" w:hAnsi="宋体" w:cs="宋体"/>
                <w:sz w:val="24"/>
              </w:rPr>
              <w:t>本项目谈判响应文件由《资格审查文件》、《商务技术文件》和《报价文件》三部分组成（统一以PDF的格式），谈判响应方应按以下方式递交谈判响应文件：</w:t>
            </w:r>
          </w:p>
          <w:p>
            <w:pPr>
              <w:spacing w:line="460" w:lineRule="exact"/>
              <w:rPr>
                <w:rFonts w:ascii="宋体" w:hAnsi="宋体" w:cs="宋体"/>
                <w:sz w:val="24"/>
              </w:rPr>
            </w:pPr>
            <w:r>
              <w:rPr>
                <w:rFonts w:hint="eastAsia" w:ascii="宋体" w:hAnsi="宋体" w:cs="宋体"/>
                <w:sz w:val="24"/>
              </w:rPr>
              <w:t>谈判响应文件的递交：</w:t>
            </w:r>
          </w:p>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sz w:val="24"/>
              </w:rPr>
              <w:t>谈判响应方可以在谈判截止时间前将电子谈判响应文件发送至邮箱：</w:t>
            </w:r>
            <w:r>
              <w:rPr>
                <w:rFonts w:hint="eastAsia" w:ascii="宋体" w:hAnsi="宋体" w:cs="宋体"/>
                <w:color w:val="000000" w:themeColor="text1"/>
                <w:sz w:val="24"/>
                <w14:textFill>
                  <w14:solidFill>
                    <w14:schemeClr w14:val="tx1"/>
                  </w14:solidFill>
                </w14:textFill>
              </w:rPr>
              <w:t>953715462</w:t>
            </w:r>
            <w:r>
              <w:rPr>
                <w:rFonts w:ascii="宋体" w:hAnsi="宋体" w:cs="宋体"/>
                <w:color w:val="000000" w:themeColor="text1"/>
                <w:sz w:val="24"/>
                <w14:textFill>
                  <w14:solidFill>
                    <w14:schemeClr w14:val="tx1"/>
                  </w14:solidFill>
                </w14:textFill>
              </w:rPr>
              <w:t>@qq.com</w:t>
            </w:r>
            <w:r>
              <w:rPr>
                <w:rFonts w:hint="eastAsia" w:ascii="宋体" w:hAnsi="宋体" w:cs="宋体"/>
                <w:sz w:val="24"/>
              </w:rPr>
              <w:t>，</w:t>
            </w:r>
            <w:r>
              <w:rPr>
                <w:rFonts w:hint="eastAsia" w:ascii="宋体" w:hAnsi="宋体" w:cs="宋体"/>
                <w:sz w:val="24"/>
                <w:lang w:eastAsia="zh-CN"/>
              </w:rPr>
              <w:t>主题名为：</w:t>
            </w:r>
            <w:r>
              <w:rPr>
                <w:rFonts w:hint="eastAsia" w:ascii="宋体" w:hAnsi="宋体" w:cs="宋体"/>
                <w:b/>
                <w:bCs/>
                <w:sz w:val="24"/>
                <w:lang w:eastAsia="zh-CN"/>
              </w:rPr>
              <w:t>投标人（单位名称）的投标文件</w:t>
            </w:r>
            <w:r>
              <w:rPr>
                <w:rFonts w:hint="eastAsia" w:ascii="宋体" w:hAnsi="宋体" w:cs="宋体"/>
                <w:sz w:val="24"/>
                <w:lang w:val="en-US" w:eastAsia="zh-CN"/>
              </w:rPr>
              <w:t xml:space="preserve">   </w:t>
            </w:r>
            <w:r>
              <w:rPr>
                <w:rFonts w:hint="eastAsia" w:ascii="宋体" w:hAnsi="宋体" w:cs="宋体"/>
                <w:sz w:val="24"/>
              </w:rPr>
              <w:t>逾期发送或发错后缀名谈判响应文件将被视为无效</w:t>
            </w:r>
            <w:r>
              <w:rPr>
                <w:rFonts w:hint="eastAsia" w:ascii="宋体" w:hAnsi="宋体" w:cs="宋体"/>
                <w:sz w:val="24"/>
                <w:lang w:eastAsia="zh-CN"/>
              </w:rPr>
              <w:t>。</w:t>
            </w:r>
          </w:p>
        </w:tc>
      </w:tr>
      <w:tr>
        <w:tblPrEx>
          <w:tblCellMar>
            <w:top w:w="0" w:type="dxa"/>
            <w:left w:w="108" w:type="dxa"/>
            <w:bottom w:w="0" w:type="dxa"/>
            <w:right w:w="108" w:type="dxa"/>
          </w:tblCellMar>
        </w:tblPrEx>
        <w:trPr>
          <w:trHeight w:val="555"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投标截止时间：</w:t>
            </w:r>
            <w:r>
              <w:rPr>
                <w:rFonts w:hint="eastAsia" w:ascii="宋体" w:hAnsi="宋体" w:cs="宋体"/>
                <w:color w:val="000000" w:themeColor="text1"/>
                <w:sz w:val="24"/>
                <w14:textFill>
                  <w14:solidFill>
                    <w14:schemeClr w14:val="tx1"/>
                  </w14:solidFill>
                </w14:textFill>
              </w:rPr>
              <w:t>2021年9月30日9时</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0分前</w:t>
            </w:r>
          </w:p>
        </w:tc>
      </w:tr>
      <w:tr>
        <w:tblPrEx>
          <w:tblCellMar>
            <w:top w:w="0" w:type="dxa"/>
            <w:left w:w="108" w:type="dxa"/>
            <w:bottom w:w="0" w:type="dxa"/>
            <w:right w:w="108" w:type="dxa"/>
          </w:tblCellMar>
        </w:tblPrEx>
        <w:trPr>
          <w:trHeight w:val="153"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6</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b/>
                <w:bCs/>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开标时间：</w:t>
            </w:r>
            <w:r>
              <w:rPr>
                <w:rFonts w:hint="eastAsia" w:ascii="宋体" w:hAnsi="宋体" w:cs="宋体"/>
                <w:color w:val="000000" w:themeColor="text1"/>
                <w:sz w:val="24"/>
                <w14:textFill>
                  <w14:solidFill>
                    <w14:schemeClr w14:val="tx1"/>
                  </w14:solidFill>
                </w14:textFill>
              </w:rPr>
              <w:t>2021年9月30日9时</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0分</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开标地址：浙江广厦建设职业技术大学综合楼603开标室</w:t>
            </w:r>
          </w:p>
        </w:tc>
      </w:tr>
      <w:tr>
        <w:tblPrEx>
          <w:tblCellMar>
            <w:top w:w="0" w:type="dxa"/>
            <w:left w:w="108" w:type="dxa"/>
            <w:bottom w:w="0" w:type="dxa"/>
            <w:right w:w="108" w:type="dxa"/>
          </w:tblCellMar>
        </w:tblPrEx>
        <w:trPr>
          <w:trHeight w:val="9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7</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sz w:val="24"/>
              </w:rPr>
              <w:t>评标办法：最低评标价法</w:t>
            </w:r>
          </w:p>
        </w:tc>
      </w:tr>
      <w:tr>
        <w:tblPrEx>
          <w:tblCellMar>
            <w:top w:w="0" w:type="dxa"/>
            <w:left w:w="108" w:type="dxa"/>
            <w:bottom w:w="0" w:type="dxa"/>
            <w:right w:w="108" w:type="dxa"/>
          </w:tblCellMar>
        </w:tblPrEx>
        <w:trPr>
          <w:trHeight w:val="102"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8</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中标结果公告：自中标人确定之日起2个工作日内，招标人在公告栏上以书面形式公布中标结果。</w:t>
            </w:r>
          </w:p>
        </w:tc>
      </w:tr>
      <w:tr>
        <w:tblPrEx>
          <w:tblCellMar>
            <w:top w:w="0" w:type="dxa"/>
            <w:left w:w="108" w:type="dxa"/>
            <w:bottom w:w="0" w:type="dxa"/>
            <w:right w:w="108" w:type="dxa"/>
          </w:tblCellMar>
        </w:tblPrEx>
        <w:trPr>
          <w:trHeight w:val="102"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9</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《中标通知书》的领取时间：中标单位应在中标结果公告结束日起，在3个工作日内领取，否则按放弃中标资格处理。</w:t>
            </w:r>
          </w:p>
        </w:tc>
      </w:tr>
      <w:tr>
        <w:tblPrEx>
          <w:tblCellMar>
            <w:top w:w="0" w:type="dxa"/>
            <w:left w:w="108" w:type="dxa"/>
            <w:bottom w:w="0" w:type="dxa"/>
            <w:right w:w="108" w:type="dxa"/>
          </w:tblCellMar>
        </w:tblPrEx>
        <w:trPr>
          <w:trHeight w:val="354"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10</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履约保证金：履约保证金为合同价款的</w:t>
            </w:r>
            <w:r>
              <w:rPr>
                <w:rFonts w:hint="eastAsia" w:ascii="宋体" w:hAnsi="宋体" w:cs="宋体"/>
                <w:color w:val="000000" w:themeColor="text1"/>
                <w:sz w:val="24"/>
                <w14:textFill>
                  <w14:solidFill>
                    <w14:schemeClr w14:val="tx1"/>
                  </w14:solidFill>
                </w14:textFill>
              </w:rPr>
              <w:t>5</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转入</w:t>
            </w:r>
            <w:r>
              <w:rPr>
                <w:rFonts w:ascii="宋体" w:hAnsi="宋体" w:cs="宋体"/>
                <w:color w:val="000000" w:themeColor="text1"/>
                <w:sz w:val="24"/>
                <w14:textFill>
                  <w14:solidFill>
                    <w14:schemeClr w14:val="tx1"/>
                  </w14:solidFill>
                </w14:textFill>
              </w:rPr>
              <w:t>浙江广厦建设职业技术大学</w:t>
            </w:r>
            <w:r>
              <w:rPr>
                <w:rFonts w:hint="eastAsia" w:ascii="宋体" w:hAnsi="宋体" w:cs="宋体"/>
                <w:color w:val="000000" w:themeColor="text1"/>
                <w:sz w:val="24"/>
                <w14:textFill>
                  <w14:solidFill>
                    <w14:schemeClr w14:val="tx1"/>
                  </w14:solidFill>
                </w14:textFill>
              </w:rPr>
              <w:t>指定银行账号</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开户行：工商银行东阳支行，账户：1</w:t>
            </w:r>
            <w:r>
              <w:rPr>
                <w:rFonts w:ascii="宋体" w:hAnsi="宋体" w:cs="宋体"/>
                <w:color w:val="000000" w:themeColor="text1"/>
                <w:sz w:val="24"/>
                <w14:textFill>
                  <w14:solidFill>
                    <w14:schemeClr w14:val="tx1"/>
                  </w14:solidFill>
                </w14:textFill>
              </w:rPr>
              <w:t>208040009049058362)</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在项目完成且验收合格（由采购人出具验收合格报告，要求原件）之日起15个工作日内退还。</w:t>
            </w:r>
          </w:p>
        </w:tc>
      </w:tr>
      <w:tr>
        <w:tblPrEx>
          <w:tblCellMar>
            <w:top w:w="0" w:type="dxa"/>
            <w:left w:w="108" w:type="dxa"/>
            <w:bottom w:w="0" w:type="dxa"/>
            <w:right w:w="108" w:type="dxa"/>
          </w:tblCellMar>
        </w:tblPrEx>
        <w:trPr>
          <w:trHeight w:val="9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11</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签订合同时间：发出《中标通知书》之日起30天内。</w:t>
            </w:r>
          </w:p>
        </w:tc>
      </w:tr>
      <w:tr>
        <w:tblPrEx>
          <w:tblCellMar>
            <w:top w:w="0" w:type="dxa"/>
            <w:left w:w="108" w:type="dxa"/>
            <w:bottom w:w="0" w:type="dxa"/>
            <w:right w:w="108" w:type="dxa"/>
          </w:tblCellMar>
        </w:tblPrEx>
        <w:trPr>
          <w:trHeight w:val="9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12</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中</w:t>
            </w:r>
            <w:r>
              <w:rPr>
                <w:rFonts w:ascii="宋体" w:hAnsi="宋体" w:cs="宋体"/>
                <w:color w:val="000000" w:themeColor="text1"/>
                <w:sz w:val="24"/>
                <w14:textFill>
                  <w14:solidFill>
                    <w14:schemeClr w14:val="tx1"/>
                  </w14:solidFill>
                </w14:textFill>
              </w:rPr>
              <w:t>标人与浙江广厦建设职业技术大学签订合同。</w:t>
            </w:r>
          </w:p>
        </w:tc>
      </w:tr>
      <w:tr>
        <w:tblPrEx>
          <w:tblCellMar>
            <w:top w:w="0" w:type="dxa"/>
            <w:left w:w="108" w:type="dxa"/>
            <w:bottom w:w="0" w:type="dxa"/>
            <w:right w:w="108" w:type="dxa"/>
          </w:tblCellMar>
        </w:tblPrEx>
        <w:trPr>
          <w:trHeight w:val="253"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13</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交货地点：浙江广厦建设职业技术大学内，采购人指定的地点。</w:t>
            </w:r>
          </w:p>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验收：根据中华人民共和国现行技术标准，按招标文件以及合同规定的验收评定标准等规范，由采购人组织相关人员进行验收，验收合格后，采购人出具验收报告。采购人出具一式二份验收报告（不含其它单位存档份数），一份由中标人保管，一份由</w:t>
            </w:r>
            <w:r>
              <w:rPr>
                <w:rFonts w:hint="eastAsia" w:ascii="宋体" w:hAnsi="宋体" w:cs="宋体"/>
                <w:color w:val="000000" w:themeColor="text1"/>
                <w:sz w:val="24"/>
                <w14:textFill>
                  <w14:solidFill>
                    <w14:schemeClr w14:val="tx1"/>
                  </w14:solidFill>
                </w14:textFill>
              </w:rPr>
              <w:t>浙江广厦建设职业技术大学</w:t>
            </w:r>
            <w:r>
              <w:rPr>
                <w:rFonts w:ascii="宋体" w:hAnsi="宋体" w:cs="宋体"/>
                <w:color w:val="000000" w:themeColor="text1"/>
                <w:sz w:val="24"/>
                <w14:textFill>
                  <w14:solidFill>
                    <w14:schemeClr w14:val="tx1"/>
                  </w14:solidFill>
                </w14:textFill>
              </w:rPr>
              <w:t>（原件）存档。</w:t>
            </w:r>
          </w:p>
        </w:tc>
      </w:tr>
      <w:tr>
        <w:tblPrEx>
          <w:tblCellMar>
            <w:top w:w="0" w:type="dxa"/>
            <w:left w:w="108" w:type="dxa"/>
            <w:bottom w:w="0" w:type="dxa"/>
            <w:right w:w="108" w:type="dxa"/>
          </w:tblCellMar>
        </w:tblPrEx>
        <w:trPr>
          <w:trHeight w:val="9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14</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投标文件有效期：</w:t>
            </w:r>
            <w:r>
              <w:rPr>
                <w:rFonts w:ascii="宋体" w:hAnsi="宋体" w:cs="Arial"/>
                <w:color w:val="000000" w:themeColor="text1"/>
                <w:sz w:val="24"/>
                <w:u w:val="single"/>
                <w14:textFill>
                  <w14:solidFill>
                    <w14:schemeClr w14:val="tx1"/>
                  </w14:solidFill>
                </w14:textFill>
              </w:rPr>
              <w:t>60</w:t>
            </w:r>
            <w:r>
              <w:rPr>
                <w:rFonts w:ascii="宋体" w:hAnsi="宋体" w:cs="Arial"/>
                <w:color w:val="000000" w:themeColor="text1"/>
                <w:sz w:val="24"/>
                <w14:textFill>
                  <w14:solidFill>
                    <w14:schemeClr w14:val="tx1"/>
                  </w14:solidFill>
                </w14:textFill>
              </w:rPr>
              <w:t>天</w:t>
            </w:r>
          </w:p>
        </w:tc>
      </w:tr>
      <w:tr>
        <w:tblPrEx>
          <w:tblCellMar>
            <w:top w:w="0" w:type="dxa"/>
            <w:left w:w="108" w:type="dxa"/>
            <w:bottom w:w="0" w:type="dxa"/>
            <w:right w:w="108" w:type="dxa"/>
          </w:tblCellMar>
        </w:tblPrEx>
        <w:trPr>
          <w:trHeight w:val="9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15</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招标人对投标人的落选不作出任何解释。</w:t>
            </w:r>
          </w:p>
        </w:tc>
      </w:tr>
      <w:tr>
        <w:tblPrEx>
          <w:tblCellMar>
            <w:top w:w="0" w:type="dxa"/>
            <w:left w:w="108" w:type="dxa"/>
            <w:bottom w:w="0" w:type="dxa"/>
            <w:right w:w="108" w:type="dxa"/>
          </w:tblCellMar>
        </w:tblPrEx>
        <w:trPr>
          <w:trHeight w:val="138"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16</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招标人</w:t>
            </w:r>
            <w:r>
              <w:rPr>
                <w:rFonts w:hint="eastAsia" w:ascii="宋体" w:hAnsi="宋体" w:cs="宋体"/>
                <w:b/>
                <w:color w:val="000000" w:themeColor="text1"/>
                <w:sz w:val="24"/>
                <w14:textFill>
                  <w14:solidFill>
                    <w14:schemeClr w14:val="tx1"/>
                  </w14:solidFill>
                </w14:textFill>
              </w:rPr>
              <w:t>的</w:t>
            </w:r>
            <w:r>
              <w:rPr>
                <w:rFonts w:ascii="宋体" w:hAnsi="宋体" w:cs="宋体"/>
                <w:b/>
                <w:color w:val="000000" w:themeColor="text1"/>
                <w:sz w:val="24"/>
                <w14:textFill>
                  <w14:solidFill>
                    <w14:schemeClr w14:val="tx1"/>
                  </w14:solidFill>
                </w14:textFill>
              </w:rPr>
              <w:t>任何工作人员对投标人所作的任何口头解释、介绍、答复，仅供投标人参考，不作为招标依据，一切以网上公告及书面形式为准。</w:t>
            </w:r>
          </w:p>
        </w:tc>
      </w:tr>
      <w:tr>
        <w:tblPrEx>
          <w:tblCellMar>
            <w:top w:w="0" w:type="dxa"/>
            <w:left w:w="108" w:type="dxa"/>
            <w:bottom w:w="0" w:type="dxa"/>
            <w:right w:w="108" w:type="dxa"/>
          </w:tblCellMar>
        </w:tblPrEx>
        <w:trPr>
          <w:trHeight w:val="9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17</w:t>
            </w:r>
          </w:p>
        </w:tc>
        <w:tc>
          <w:tcPr>
            <w:tcW w:w="87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解释：本招标文件的解释权属于</w:t>
            </w:r>
            <w:r>
              <w:rPr>
                <w:rFonts w:hint="eastAsia" w:ascii="宋体" w:hAnsi="宋体" w:cs="宋体"/>
                <w:color w:val="000000" w:themeColor="text1"/>
                <w:sz w:val="24"/>
                <w14:textFill>
                  <w14:solidFill>
                    <w14:schemeClr w14:val="tx1"/>
                  </w14:solidFill>
                </w14:textFill>
              </w:rPr>
              <w:t>浙江广厦建设职业技术大学</w:t>
            </w:r>
            <w:r>
              <w:rPr>
                <w:rFonts w:ascii="宋体" w:hAnsi="宋体" w:cs="宋体"/>
                <w:color w:val="000000" w:themeColor="text1"/>
                <w:sz w:val="24"/>
                <w14:textFill>
                  <w14:solidFill>
                    <w14:schemeClr w14:val="tx1"/>
                  </w14:solidFill>
                </w14:textFill>
              </w:rPr>
              <w:t>。</w:t>
            </w:r>
          </w:p>
        </w:tc>
      </w:tr>
    </w:tbl>
    <w:p>
      <w:pPr>
        <w:spacing w:line="276" w:lineRule="auto"/>
        <w:rPr>
          <w:rFonts w:cs="宋体"/>
          <w:b/>
          <w:color w:val="000000" w:themeColor="text1"/>
          <w14:textFill>
            <w14:solidFill>
              <w14:schemeClr w14:val="tx1"/>
            </w14:solidFill>
          </w14:textFill>
        </w:rPr>
      </w:pPr>
      <w:r>
        <w:rPr>
          <w:rFonts w:cs="宋体"/>
          <w:b/>
          <w:color w:val="000000" w:themeColor="text1"/>
          <w14:textFill>
            <w14:solidFill>
              <w14:schemeClr w14:val="tx1"/>
            </w14:solidFill>
          </w14:textFill>
        </w:rPr>
        <w:t>注：如本招标文件后面的条款与本表有矛盾的以本表的内容为准。</w:t>
      </w:r>
      <w:r>
        <w:rPr>
          <w:color w:val="000000" w:themeColor="text1"/>
          <w14:textFill>
            <w14:solidFill>
              <w14:schemeClr w14:val="tx1"/>
            </w14:solidFill>
          </w14:textFill>
        </w:rPr>
        <w:br w:type="page"/>
      </w:r>
    </w:p>
    <w:p>
      <w:pPr>
        <w:autoSpaceDE w:val="0"/>
        <w:autoSpaceDN w:val="0"/>
        <w:spacing w:before="156" w:beforeLines="50" w:line="440" w:lineRule="exact"/>
        <w:jc w:val="center"/>
        <w:textAlignment w:val="bottom"/>
        <w:rPr>
          <w:rFonts w:ascii="宋体" w:hAnsi="宋体"/>
          <w:b/>
          <w:bCs/>
          <w:sz w:val="32"/>
          <w:szCs w:val="32"/>
        </w:rPr>
      </w:pPr>
      <w:bookmarkStart w:id="5" w:name="_Toc515112306"/>
      <w:bookmarkStart w:id="6" w:name="_Toc24744"/>
      <w:r>
        <w:rPr>
          <w:rFonts w:hint="eastAsia" w:ascii="宋体" w:hAnsi="宋体"/>
          <w:b/>
          <w:bCs/>
          <w:sz w:val="32"/>
          <w:szCs w:val="32"/>
        </w:rPr>
        <w:t>第四章 竞争性谈判</w:t>
      </w:r>
      <w:bookmarkEnd w:id="5"/>
      <w:r>
        <w:rPr>
          <w:rFonts w:hint="eastAsia" w:ascii="宋体" w:hAnsi="宋体"/>
          <w:b/>
          <w:bCs/>
          <w:sz w:val="32"/>
          <w:szCs w:val="32"/>
        </w:rPr>
        <w:t>条款</w:t>
      </w:r>
      <w:bookmarkEnd w:id="6"/>
    </w:p>
    <w:p>
      <w:pPr>
        <w:autoSpaceDE w:val="0"/>
        <w:autoSpaceDN w:val="0"/>
        <w:spacing w:before="156" w:beforeLines="50" w:line="440" w:lineRule="exact"/>
        <w:textAlignment w:val="bottom"/>
        <w:rPr>
          <w:rFonts w:ascii="宋体" w:hAnsi="宋体" w:cs="宋体"/>
          <w:sz w:val="24"/>
        </w:rPr>
      </w:pPr>
      <w:r>
        <w:rPr>
          <w:rFonts w:hint="eastAsia" w:ascii="宋体" w:hAnsi="宋体" w:cs="宋体"/>
          <w:b/>
          <w:bCs/>
          <w:sz w:val="24"/>
        </w:rPr>
        <w:t>一、谈判响应文件的语言、计量及货币</w:t>
      </w:r>
    </w:p>
    <w:p>
      <w:pPr>
        <w:autoSpaceDE w:val="0"/>
        <w:autoSpaceDN w:val="0"/>
        <w:spacing w:line="440" w:lineRule="exact"/>
        <w:ind w:firstLine="480" w:firstLineChars="200"/>
        <w:textAlignment w:val="bottom"/>
        <w:rPr>
          <w:rFonts w:ascii="宋体" w:hAnsi="宋体" w:cs="宋体"/>
          <w:spacing w:val="-6"/>
          <w:kern w:val="0"/>
          <w:sz w:val="24"/>
        </w:rPr>
      </w:pPr>
      <w:r>
        <w:rPr>
          <w:rFonts w:hint="eastAsia" w:ascii="宋体" w:hAnsi="宋体" w:cs="宋体"/>
          <w:sz w:val="24"/>
        </w:rPr>
        <w:t>1. 与本次采购有关的来往通知、函件和文件均应使用中文</w:t>
      </w:r>
      <w:r>
        <w:rPr>
          <w:rFonts w:hint="eastAsia" w:ascii="宋体" w:hAnsi="宋体" w:cs="宋体"/>
          <w:spacing w:val="-6"/>
          <w:kern w:val="0"/>
          <w:sz w:val="24"/>
        </w:rPr>
        <w:t>编写。</w:t>
      </w:r>
    </w:p>
    <w:p>
      <w:pPr>
        <w:autoSpaceDE w:val="0"/>
        <w:autoSpaceDN w:val="0"/>
        <w:spacing w:line="440" w:lineRule="exact"/>
        <w:ind w:firstLine="480" w:firstLineChars="200"/>
        <w:textAlignment w:val="bottom"/>
        <w:rPr>
          <w:rFonts w:ascii="宋体" w:hAnsi="宋体" w:cs="宋体"/>
          <w:sz w:val="24"/>
        </w:rPr>
      </w:pPr>
      <w:r>
        <w:rPr>
          <w:rFonts w:hint="eastAsia" w:ascii="宋体" w:hAnsi="宋体" w:cs="宋体"/>
          <w:sz w:val="24"/>
        </w:rPr>
        <w:t>2. 除在技术规格中另有规定外，计量单位应使用公制单位。</w:t>
      </w:r>
    </w:p>
    <w:p>
      <w:pPr>
        <w:spacing w:line="440" w:lineRule="exact"/>
        <w:ind w:firstLine="480" w:firstLineChars="200"/>
        <w:rPr>
          <w:rFonts w:ascii="宋体" w:hAnsi="宋体" w:cs="宋体"/>
          <w:sz w:val="24"/>
        </w:rPr>
      </w:pPr>
      <w:r>
        <w:rPr>
          <w:rFonts w:hint="eastAsia" w:ascii="宋体" w:hAnsi="宋体" w:cs="宋体"/>
          <w:sz w:val="24"/>
        </w:rPr>
        <w:t>3. 货币为人民币，单位为元。</w:t>
      </w:r>
    </w:p>
    <w:p>
      <w:pPr>
        <w:spacing w:line="440" w:lineRule="exact"/>
        <w:ind w:firstLine="480" w:firstLineChars="200"/>
        <w:rPr>
          <w:rFonts w:ascii="宋体" w:hAnsi="宋体" w:cs="宋体"/>
          <w:sz w:val="24"/>
        </w:rPr>
      </w:pPr>
      <w:r>
        <w:rPr>
          <w:rFonts w:hint="eastAsia" w:ascii="宋体" w:hAnsi="宋体" w:cs="宋体"/>
          <w:sz w:val="24"/>
        </w:rPr>
        <w:t>4.</w:t>
      </w:r>
      <w:r>
        <w:rPr>
          <w:rFonts w:hint="eastAsia" w:ascii="宋体" w:hAnsi="宋体" w:cs="宋体"/>
        </w:rPr>
        <w:t xml:space="preserve"> </w:t>
      </w:r>
      <w:r>
        <w:rPr>
          <w:rFonts w:hint="eastAsia" w:ascii="宋体" w:hAnsi="宋体" w:cs="宋体"/>
          <w:sz w:val="24"/>
        </w:rPr>
        <w:t>“*”、 “▲”、 “★”、 “※”系指实质性要求条款，不允许负偏离，否则废标处理。</w:t>
      </w:r>
    </w:p>
    <w:p>
      <w:pPr>
        <w:spacing w:line="440" w:lineRule="exact"/>
        <w:rPr>
          <w:rFonts w:ascii="宋体" w:hAnsi="宋体" w:cs="宋体"/>
          <w:b/>
          <w:bCs/>
          <w:sz w:val="24"/>
        </w:rPr>
      </w:pPr>
      <w:r>
        <w:rPr>
          <w:rFonts w:hint="eastAsia" w:ascii="宋体" w:hAnsi="宋体" w:cs="宋体"/>
          <w:b/>
          <w:bCs/>
          <w:sz w:val="24"/>
        </w:rPr>
        <w:t>二、对谈判响应文件的要求</w:t>
      </w:r>
    </w:p>
    <w:p>
      <w:pPr>
        <w:spacing w:line="440" w:lineRule="exact"/>
        <w:ind w:firstLine="480" w:firstLineChars="200"/>
        <w:rPr>
          <w:rFonts w:ascii="宋体" w:hAnsi="宋体" w:cs="宋体"/>
          <w:sz w:val="24"/>
        </w:rPr>
      </w:pPr>
      <w:r>
        <w:rPr>
          <w:rFonts w:hint="eastAsia" w:ascii="宋体" w:hAnsi="宋体" w:cs="宋体"/>
          <w:sz w:val="24"/>
        </w:rPr>
        <w:t>谈判响应方应仔细阅读采购文件的所有内容，按采购文件的要求提供谈判响应文件，并保证所提供的全部资料的真实性，以使其谈判对采购文件做出实质性响应，否则，其谈判可能被拒绝。</w:t>
      </w:r>
    </w:p>
    <w:p>
      <w:pPr>
        <w:spacing w:line="440" w:lineRule="exact"/>
        <w:rPr>
          <w:rFonts w:ascii="宋体" w:hAnsi="宋体" w:cs="宋体"/>
          <w:b/>
          <w:bCs/>
          <w:sz w:val="24"/>
        </w:rPr>
      </w:pPr>
      <w:r>
        <w:rPr>
          <w:rFonts w:hint="eastAsia" w:ascii="宋体" w:hAnsi="宋体" w:cs="宋体"/>
          <w:b/>
          <w:bCs/>
          <w:sz w:val="24"/>
        </w:rPr>
        <w:t>三、谈判响应文件的编制</w:t>
      </w:r>
    </w:p>
    <w:p>
      <w:pPr>
        <w:spacing w:line="440" w:lineRule="exact"/>
        <w:ind w:firstLine="480" w:firstLineChars="200"/>
        <w:rPr>
          <w:rFonts w:ascii="宋体" w:hAnsi="宋体" w:cs="宋体"/>
          <w:bCs/>
          <w:sz w:val="24"/>
        </w:rPr>
      </w:pPr>
      <w:r>
        <w:rPr>
          <w:rFonts w:hint="eastAsia" w:ascii="宋体" w:hAnsi="宋体" w:cs="宋体"/>
          <w:bCs/>
          <w:sz w:val="24"/>
        </w:rPr>
        <w:t>谈判响应文件由《资格审查文件》、《商务技术文件》和《报价文件》三部分组成。</w:t>
      </w:r>
    </w:p>
    <w:p>
      <w:pPr>
        <w:spacing w:line="440" w:lineRule="exact"/>
        <w:ind w:firstLine="482" w:firstLineChars="200"/>
        <w:rPr>
          <w:rFonts w:ascii="宋体" w:hAnsi="宋体" w:cs="宋体"/>
          <w:b/>
          <w:sz w:val="24"/>
        </w:rPr>
      </w:pPr>
      <w:r>
        <w:rPr>
          <w:rFonts w:hint="eastAsia" w:ascii="宋体" w:hAnsi="宋体" w:cs="宋体"/>
          <w:b/>
          <w:sz w:val="24"/>
        </w:rPr>
        <w:t>1.资格审查文件：</w:t>
      </w:r>
    </w:p>
    <w:p>
      <w:pPr>
        <w:adjustRightInd w:val="0"/>
        <w:snapToGrid w:val="0"/>
        <w:spacing w:line="440" w:lineRule="exact"/>
        <w:ind w:firstLine="480" w:firstLineChars="200"/>
        <w:jc w:val="left"/>
        <w:rPr>
          <w:rFonts w:ascii="宋体" w:hAnsi="宋体"/>
          <w:sz w:val="24"/>
        </w:rPr>
      </w:pPr>
      <w:r>
        <w:rPr>
          <w:rFonts w:hint="eastAsia" w:ascii="宋体" w:hAnsi="宋体"/>
          <w:sz w:val="24"/>
        </w:rPr>
        <w:t>（1）有效的营业执照副本复印件；</w:t>
      </w:r>
    </w:p>
    <w:p>
      <w:pPr>
        <w:adjustRightInd w:val="0"/>
        <w:snapToGrid w:val="0"/>
        <w:spacing w:line="440" w:lineRule="exact"/>
        <w:ind w:firstLine="480" w:firstLineChars="200"/>
        <w:jc w:val="left"/>
        <w:rPr>
          <w:rFonts w:ascii="宋体" w:hAnsi="宋体"/>
          <w:sz w:val="24"/>
        </w:rPr>
      </w:pPr>
      <w:r>
        <w:rPr>
          <w:rFonts w:hint="eastAsia" w:ascii="宋体" w:hAnsi="宋体"/>
          <w:sz w:val="24"/>
        </w:rPr>
        <w:t xml:space="preserve">（2）法定代表人身份证复印件或法定代表人授权委托书(格式见附件)； </w:t>
      </w:r>
    </w:p>
    <w:p>
      <w:pPr>
        <w:adjustRightInd w:val="0"/>
        <w:snapToGrid w:val="0"/>
        <w:spacing w:line="440" w:lineRule="exact"/>
        <w:ind w:firstLine="480" w:firstLineChars="200"/>
        <w:jc w:val="left"/>
        <w:rPr>
          <w:rFonts w:ascii="宋体" w:hAnsi="宋体"/>
          <w:sz w:val="24"/>
        </w:rPr>
      </w:pPr>
      <w:r>
        <w:rPr>
          <w:rFonts w:hint="eastAsia" w:ascii="宋体" w:hAnsi="宋体"/>
          <w:sz w:val="24"/>
        </w:rPr>
        <w:t>（3）谈判响应方情况介绍；</w:t>
      </w:r>
    </w:p>
    <w:p>
      <w:pPr>
        <w:adjustRightInd w:val="0"/>
        <w:snapToGrid w:val="0"/>
        <w:spacing w:line="440" w:lineRule="exact"/>
        <w:ind w:firstLine="480" w:firstLineChars="200"/>
        <w:jc w:val="left"/>
        <w:rPr>
          <w:rFonts w:ascii="宋体" w:hAnsi="宋体"/>
          <w:sz w:val="24"/>
        </w:rPr>
      </w:pPr>
      <w:r>
        <w:rPr>
          <w:rFonts w:hint="eastAsia" w:ascii="宋体" w:hAnsi="宋体"/>
          <w:sz w:val="24"/>
        </w:rPr>
        <w:t>（4）谈判响应方认为有必要提供的其它文件。</w:t>
      </w:r>
    </w:p>
    <w:p>
      <w:pPr>
        <w:spacing w:line="440" w:lineRule="exact"/>
        <w:ind w:firstLine="482" w:firstLineChars="200"/>
        <w:rPr>
          <w:rFonts w:ascii="宋体" w:hAnsi="宋体" w:cs="宋体"/>
          <w:b/>
          <w:bCs/>
          <w:sz w:val="24"/>
        </w:rPr>
      </w:pPr>
      <w:r>
        <w:rPr>
          <w:rFonts w:hint="eastAsia" w:ascii="宋体" w:hAnsi="宋体" w:cs="宋体"/>
          <w:b/>
          <w:bCs/>
          <w:sz w:val="24"/>
        </w:rPr>
        <w:t>2、《商务技术文件》包括：</w:t>
      </w:r>
    </w:p>
    <w:p>
      <w:pPr>
        <w:adjustRightInd w:val="0"/>
        <w:snapToGrid w:val="0"/>
        <w:spacing w:line="440" w:lineRule="exact"/>
        <w:ind w:firstLine="480" w:firstLineChars="200"/>
        <w:jc w:val="left"/>
        <w:rPr>
          <w:rFonts w:ascii="宋体" w:hAnsi="宋体"/>
          <w:sz w:val="24"/>
        </w:rPr>
      </w:pPr>
      <w:r>
        <w:rPr>
          <w:rFonts w:hint="eastAsia" w:ascii="宋体" w:hAnsi="宋体"/>
          <w:sz w:val="24"/>
        </w:rPr>
        <w:t>（1）商务、技术响应表；</w:t>
      </w:r>
    </w:p>
    <w:p>
      <w:pPr>
        <w:adjustRightInd w:val="0"/>
        <w:snapToGrid w:val="0"/>
        <w:spacing w:line="440" w:lineRule="exact"/>
        <w:ind w:firstLine="480" w:firstLineChars="200"/>
        <w:jc w:val="left"/>
        <w:rPr>
          <w:rFonts w:ascii="宋体" w:hAnsi="宋体"/>
          <w:sz w:val="24"/>
        </w:rPr>
      </w:pPr>
      <w:r>
        <w:rPr>
          <w:rFonts w:hint="eastAsia" w:ascii="宋体" w:hAnsi="宋体"/>
          <w:sz w:val="24"/>
        </w:rPr>
        <w:t>（2）提供针对项目的实施方案；</w:t>
      </w:r>
    </w:p>
    <w:p>
      <w:pPr>
        <w:adjustRightInd w:val="0"/>
        <w:snapToGrid w:val="0"/>
        <w:spacing w:line="440" w:lineRule="exact"/>
        <w:ind w:firstLine="480" w:firstLineChars="200"/>
        <w:jc w:val="left"/>
        <w:rPr>
          <w:rFonts w:ascii="宋体" w:hAnsi="宋体"/>
          <w:sz w:val="24"/>
        </w:rPr>
      </w:pPr>
      <w:r>
        <w:rPr>
          <w:rFonts w:hint="eastAsia" w:ascii="宋体" w:hAnsi="宋体"/>
          <w:sz w:val="24"/>
        </w:rPr>
        <w:t>（3）针对本项目的详细实施计划；</w:t>
      </w:r>
    </w:p>
    <w:p>
      <w:pPr>
        <w:adjustRightInd w:val="0"/>
        <w:snapToGrid w:val="0"/>
        <w:spacing w:line="440" w:lineRule="exact"/>
        <w:ind w:firstLine="480" w:firstLineChars="200"/>
        <w:jc w:val="left"/>
        <w:rPr>
          <w:rFonts w:ascii="宋体" w:hAnsi="宋体"/>
          <w:sz w:val="24"/>
        </w:rPr>
      </w:pPr>
      <w:r>
        <w:rPr>
          <w:rFonts w:hint="eastAsia" w:ascii="宋体" w:hAnsi="宋体"/>
          <w:sz w:val="24"/>
        </w:rPr>
        <w:t>（4）培训方案；</w:t>
      </w:r>
    </w:p>
    <w:p>
      <w:pPr>
        <w:adjustRightInd w:val="0"/>
        <w:snapToGrid w:val="0"/>
        <w:spacing w:line="440" w:lineRule="exact"/>
        <w:ind w:firstLine="480" w:firstLineChars="200"/>
        <w:jc w:val="left"/>
        <w:rPr>
          <w:rFonts w:ascii="宋体" w:hAnsi="宋体"/>
          <w:sz w:val="24"/>
        </w:rPr>
      </w:pPr>
      <w:r>
        <w:rPr>
          <w:rFonts w:hint="eastAsia" w:ascii="宋体" w:hAnsi="宋体"/>
          <w:sz w:val="24"/>
        </w:rPr>
        <w:t>（5）售后服务方案；</w:t>
      </w:r>
    </w:p>
    <w:p>
      <w:pPr>
        <w:snapToGrid w:val="0"/>
        <w:spacing w:line="440" w:lineRule="exact"/>
        <w:ind w:firstLine="480" w:firstLineChars="200"/>
        <w:jc w:val="left"/>
        <w:rPr>
          <w:rFonts w:ascii="宋体" w:hAnsi="宋体"/>
          <w:snapToGrid w:val="0"/>
          <w:sz w:val="24"/>
        </w:rPr>
      </w:pPr>
      <w:r>
        <w:rPr>
          <w:rFonts w:hint="eastAsia" w:ascii="宋体" w:hAnsi="宋体"/>
          <w:sz w:val="24"/>
        </w:rPr>
        <w:t>（6）售后服务响应时间</w:t>
      </w:r>
      <w:r>
        <w:rPr>
          <w:rFonts w:hint="eastAsia" w:ascii="宋体" w:hAnsi="宋体"/>
          <w:snapToGrid w:val="0"/>
          <w:sz w:val="24"/>
        </w:rPr>
        <w:t>；</w:t>
      </w:r>
    </w:p>
    <w:p>
      <w:pPr>
        <w:snapToGrid w:val="0"/>
        <w:spacing w:line="440" w:lineRule="exact"/>
        <w:ind w:firstLine="480" w:firstLineChars="200"/>
        <w:jc w:val="left"/>
        <w:rPr>
          <w:rFonts w:ascii="宋体" w:hAnsi="宋体" w:cs="宋体"/>
          <w:sz w:val="24"/>
        </w:rPr>
      </w:pPr>
      <w:r>
        <w:rPr>
          <w:rFonts w:hint="eastAsia" w:ascii="宋体" w:hAnsi="宋体"/>
          <w:sz w:val="24"/>
        </w:rPr>
        <w:t>（7）</w:t>
      </w:r>
      <w:r>
        <w:rPr>
          <w:rFonts w:hint="eastAsia" w:ascii="宋体" w:hAnsi="宋体" w:cs="宋体"/>
          <w:sz w:val="24"/>
        </w:rPr>
        <w:t>谈判响应方</w:t>
      </w:r>
      <w:r>
        <w:rPr>
          <w:rFonts w:hint="eastAsia" w:ascii="宋体" w:hAnsi="宋体" w:cs="宋体"/>
          <w:bCs/>
          <w:sz w:val="24"/>
        </w:rPr>
        <w:t>认</w:t>
      </w:r>
      <w:r>
        <w:rPr>
          <w:rFonts w:hint="eastAsia" w:ascii="宋体" w:hAnsi="宋体" w:cs="宋体"/>
          <w:sz w:val="24"/>
        </w:rPr>
        <w:t>为有必要提供的其它文件。</w:t>
      </w:r>
    </w:p>
    <w:p>
      <w:pPr>
        <w:spacing w:line="440" w:lineRule="exact"/>
        <w:ind w:firstLine="482" w:firstLineChars="200"/>
        <w:rPr>
          <w:rFonts w:ascii="宋体" w:hAnsi="宋体" w:cs="宋体"/>
          <w:b/>
          <w:bCs/>
          <w:sz w:val="24"/>
        </w:rPr>
      </w:pPr>
      <w:r>
        <w:rPr>
          <w:rFonts w:hint="eastAsia" w:ascii="宋体" w:hAnsi="宋体" w:cs="宋体"/>
          <w:b/>
          <w:bCs/>
          <w:sz w:val="24"/>
        </w:rPr>
        <w:t>3、《报价文件》包括：</w:t>
      </w:r>
    </w:p>
    <w:p>
      <w:pPr>
        <w:spacing w:line="440" w:lineRule="exact"/>
        <w:ind w:firstLine="480" w:firstLineChars="200"/>
        <w:rPr>
          <w:rFonts w:ascii="宋体" w:hAnsi="宋体" w:cs="宋体"/>
          <w:bCs/>
          <w:sz w:val="24"/>
        </w:rPr>
      </w:pPr>
      <w:r>
        <w:rPr>
          <w:rFonts w:hint="eastAsia" w:ascii="宋体" w:hAnsi="宋体" w:cs="宋体"/>
          <w:bCs/>
          <w:sz w:val="24"/>
        </w:rPr>
        <w:t>（1）投标书（格式见附件）；</w:t>
      </w:r>
    </w:p>
    <w:p>
      <w:pPr>
        <w:spacing w:line="440" w:lineRule="exact"/>
        <w:ind w:firstLine="480" w:firstLineChars="200"/>
        <w:rPr>
          <w:rFonts w:ascii="宋体" w:hAnsi="宋体" w:cs="宋体"/>
          <w:bCs/>
          <w:sz w:val="24"/>
        </w:rPr>
      </w:pPr>
      <w:r>
        <w:rPr>
          <w:rFonts w:hint="eastAsia" w:ascii="宋体" w:hAnsi="宋体" w:cs="宋体"/>
          <w:bCs/>
          <w:sz w:val="24"/>
        </w:rPr>
        <w:t>（2）初次报价表；</w:t>
      </w:r>
    </w:p>
    <w:p>
      <w:pPr>
        <w:overflowPunct w:val="0"/>
        <w:autoSpaceDE w:val="0"/>
        <w:autoSpaceDN w:val="0"/>
        <w:adjustRightInd w:val="0"/>
        <w:spacing w:line="440" w:lineRule="exact"/>
        <w:textAlignment w:val="baseline"/>
        <w:rPr>
          <w:rFonts w:ascii="宋体" w:hAnsi="宋体" w:cs="宋体"/>
          <w:b/>
          <w:bCs/>
          <w:kern w:val="0"/>
          <w:sz w:val="24"/>
        </w:rPr>
      </w:pPr>
      <w:r>
        <w:rPr>
          <w:rFonts w:hint="eastAsia" w:ascii="宋体" w:hAnsi="宋体" w:cs="宋体"/>
          <w:b/>
          <w:bCs/>
          <w:kern w:val="0"/>
          <w:sz w:val="24"/>
        </w:rPr>
        <w:t>四、谈判报价</w:t>
      </w:r>
    </w:p>
    <w:p>
      <w:pPr>
        <w:overflowPunct w:val="0"/>
        <w:autoSpaceDE w:val="0"/>
        <w:autoSpaceDN w:val="0"/>
        <w:adjustRightInd w:val="0"/>
        <w:spacing w:line="440" w:lineRule="exact"/>
        <w:ind w:firstLine="480" w:firstLineChars="200"/>
        <w:textAlignment w:val="baseline"/>
        <w:rPr>
          <w:rFonts w:ascii="宋体" w:hAnsi="宋体" w:cs="宋体"/>
          <w:bCs/>
          <w:kern w:val="0"/>
          <w:sz w:val="24"/>
        </w:rPr>
      </w:pPr>
      <w:r>
        <w:rPr>
          <w:rFonts w:hint="eastAsia" w:ascii="宋体" w:hAnsi="宋体" w:cs="宋体"/>
          <w:bCs/>
          <w:kern w:val="0"/>
          <w:sz w:val="24"/>
        </w:rPr>
        <w:t>1.谈判报价最高限价：16万元</w:t>
      </w:r>
      <w:r>
        <w:rPr>
          <w:rFonts w:ascii="宋体" w:hAnsi="宋体" w:cs="宋体"/>
          <w:bCs/>
          <w:kern w:val="0"/>
          <w:sz w:val="24"/>
        </w:rPr>
        <w:t xml:space="preserve">； </w:t>
      </w:r>
    </w:p>
    <w:p>
      <w:pPr>
        <w:spacing w:line="440" w:lineRule="exact"/>
        <w:ind w:firstLine="480" w:firstLineChars="200"/>
        <w:rPr>
          <w:rFonts w:ascii="宋体" w:hAnsi="宋体" w:cs="宋体"/>
          <w:spacing w:val="-4"/>
          <w:sz w:val="24"/>
        </w:rPr>
      </w:pPr>
      <w:r>
        <w:rPr>
          <w:rFonts w:hint="eastAsia" w:ascii="宋体" w:hAnsi="宋体" w:cs="宋体"/>
          <w:sz w:val="24"/>
        </w:rPr>
        <w:t>2.谈判</w:t>
      </w:r>
      <w:r>
        <w:rPr>
          <w:rFonts w:hint="eastAsia" w:ascii="宋体" w:hAnsi="宋体" w:cs="宋体"/>
          <w:spacing w:val="-4"/>
          <w:sz w:val="24"/>
        </w:rPr>
        <w:t>报价是履行合同的最终价格，</w:t>
      </w:r>
      <w:r>
        <w:rPr>
          <w:rFonts w:hint="eastAsia" w:ascii="宋体" w:hAnsi="宋体" w:cs="宋体"/>
          <w:sz w:val="24"/>
        </w:rPr>
        <w:t>应包含完成本项目合同内容所涉及的全部费用，包含但不仅限于所需软件的设计、开发、优化、安装、平台对接、上线调试、试运行管理、技术培训、验收配合、第三方检测（如需）、售后服务以及完成采购需求所涉及的其他一切内容所需的全部费用，以及税金、人工费、管理费、合理利润、风险费、投标费用、招标代理费等一切成本及费用。</w:t>
      </w:r>
      <w:r>
        <w:rPr>
          <w:rFonts w:hint="eastAsia" w:ascii="宋体" w:hAnsi="宋体" w:cs="宋体"/>
          <w:spacing w:val="-4"/>
          <w:sz w:val="24"/>
        </w:rPr>
        <w:t>谈判响应</w:t>
      </w:r>
      <w:r>
        <w:rPr>
          <w:rFonts w:hint="eastAsia" w:ascii="宋体" w:hAnsi="宋体" w:cs="宋体"/>
          <w:bCs/>
          <w:spacing w:val="-4"/>
          <w:sz w:val="24"/>
        </w:rPr>
        <w:t>方</w:t>
      </w:r>
      <w:r>
        <w:rPr>
          <w:rFonts w:hint="eastAsia" w:ascii="宋体" w:hAnsi="宋体" w:cs="宋体"/>
          <w:spacing w:val="-4"/>
          <w:sz w:val="24"/>
        </w:rPr>
        <w:t>的谈判报价为整个采购项目的总报价，如有漏项，视同已包含在项目中，合同总价不做调整。</w:t>
      </w:r>
    </w:p>
    <w:p>
      <w:pPr>
        <w:spacing w:line="440" w:lineRule="exact"/>
        <w:ind w:firstLine="480" w:firstLineChars="200"/>
        <w:rPr>
          <w:rFonts w:ascii="宋体" w:hAnsi="宋体" w:cs="宋体"/>
          <w:sz w:val="24"/>
        </w:rPr>
      </w:pPr>
      <w:r>
        <w:rPr>
          <w:rFonts w:hint="eastAsia" w:ascii="宋体" w:hAnsi="宋体" w:cs="宋体"/>
          <w:sz w:val="24"/>
        </w:rPr>
        <w:t>3．谈判响应方应在谈判响应文件和报价表上写明谈判总价。如果大写金额和小写金额不一致的，以大写金额为准；对不同文字文体谈判响应文件的解释发生异议的，以中文文件为准。</w:t>
      </w:r>
    </w:p>
    <w:p>
      <w:pPr>
        <w:overflowPunct w:val="0"/>
        <w:autoSpaceDE w:val="0"/>
        <w:autoSpaceDN w:val="0"/>
        <w:adjustRightInd w:val="0"/>
        <w:spacing w:line="440" w:lineRule="exact"/>
        <w:textAlignment w:val="baseline"/>
        <w:rPr>
          <w:rFonts w:ascii="宋体" w:hAnsi="宋体" w:cs="宋体"/>
          <w:b/>
          <w:bCs/>
          <w:kern w:val="0"/>
          <w:sz w:val="24"/>
        </w:rPr>
      </w:pPr>
      <w:r>
        <w:rPr>
          <w:rFonts w:hint="eastAsia" w:ascii="宋体" w:hAnsi="宋体" w:cs="宋体"/>
          <w:b/>
          <w:bCs/>
          <w:kern w:val="0"/>
          <w:sz w:val="24"/>
        </w:rPr>
        <w:t>五、履约保证金</w:t>
      </w:r>
    </w:p>
    <w:p>
      <w:pPr>
        <w:spacing w:line="440" w:lineRule="exact"/>
        <w:rPr>
          <w:rFonts w:ascii="宋体" w:hAnsi="宋体" w:cs="宋体"/>
          <w:sz w:val="24"/>
        </w:rPr>
      </w:pPr>
      <w:r>
        <w:rPr>
          <w:rFonts w:hint="eastAsia" w:ascii="宋体" w:hAnsi="宋体" w:cs="宋体"/>
          <w:b/>
          <w:bCs/>
          <w:kern w:val="0"/>
          <w:sz w:val="24"/>
        </w:rPr>
        <w:t xml:space="preserve"> </w:t>
      </w:r>
      <w:r>
        <w:rPr>
          <w:rFonts w:ascii="宋体" w:hAnsi="宋体" w:cs="宋体"/>
          <w:b/>
          <w:bCs/>
          <w:kern w:val="0"/>
          <w:sz w:val="24"/>
        </w:rPr>
        <w:t xml:space="preserve">  </w:t>
      </w:r>
      <w:r>
        <w:rPr>
          <w:rFonts w:hint="eastAsia" w:ascii="宋体" w:hAnsi="宋体" w:cs="宋体"/>
          <w:sz w:val="24"/>
        </w:rPr>
        <w:t>▲1.保证金形式：</w:t>
      </w:r>
      <w:r>
        <w:rPr>
          <w:rFonts w:hint="eastAsia" w:ascii="宋体" w:hAnsi="宋体" w:cs="宋体"/>
          <w:sz w:val="24"/>
          <w:u w:val="single"/>
        </w:rPr>
        <w:t>汇票、电汇、转帐</w:t>
      </w:r>
      <w:r>
        <w:rPr>
          <w:rFonts w:hint="eastAsia" w:ascii="宋体" w:hAnsi="宋体" w:cs="宋体"/>
          <w:sz w:val="24"/>
        </w:rPr>
        <w:t xml:space="preserve">   </w:t>
      </w:r>
    </w:p>
    <w:p>
      <w:pPr>
        <w:spacing w:line="440" w:lineRule="exact"/>
        <w:ind w:firstLine="360" w:firstLineChars="150"/>
        <w:rPr>
          <w:rFonts w:ascii="宋体" w:hAnsi="宋体" w:cs="宋体"/>
          <w:sz w:val="24"/>
        </w:rPr>
      </w:pPr>
      <w:r>
        <w:rPr>
          <w:rFonts w:hint="eastAsia" w:ascii="宋体" w:hAnsi="宋体" w:cs="宋体"/>
          <w:sz w:val="24"/>
        </w:rPr>
        <w:t>▲2.中标人应在中标通知书发出后</w:t>
      </w:r>
      <w:r>
        <w:rPr>
          <w:rFonts w:hint="eastAsia" w:ascii="宋体" w:hAnsi="宋体" w:cs="宋体"/>
          <w:sz w:val="24"/>
          <w:u w:val="single"/>
        </w:rPr>
        <w:t>30</w:t>
      </w:r>
      <w:r>
        <w:rPr>
          <w:rFonts w:hint="eastAsia" w:ascii="宋体" w:hAnsi="宋体" w:cs="宋体"/>
          <w:sz w:val="24"/>
        </w:rPr>
        <w:t>日内与采购人签订合同，履约保证金为中标价的5%，在领取中标通知书前向采购人指定账户交纳。</w:t>
      </w:r>
    </w:p>
    <w:p>
      <w:pPr>
        <w:overflowPunct w:val="0"/>
        <w:autoSpaceDE w:val="0"/>
        <w:autoSpaceDN w:val="0"/>
        <w:adjustRightInd w:val="0"/>
        <w:spacing w:line="440" w:lineRule="exact"/>
        <w:textAlignment w:val="baseline"/>
        <w:rPr>
          <w:rFonts w:ascii="宋体" w:hAnsi="宋体" w:cs="宋体"/>
          <w:b/>
          <w:bCs/>
          <w:kern w:val="0"/>
          <w:sz w:val="24"/>
        </w:rPr>
      </w:pPr>
      <w:r>
        <w:rPr>
          <w:rFonts w:hint="eastAsia" w:ascii="宋体" w:hAnsi="宋体" w:cs="宋体"/>
          <w:b/>
          <w:bCs/>
          <w:kern w:val="0"/>
          <w:sz w:val="24"/>
        </w:rPr>
        <w:t>六、谈判响应文件有效期</w:t>
      </w:r>
    </w:p>
    <w:p>
      <w:pPr>
        <w:spacing w:line="440" w:lineRule="exact"/>
        <w:ind w:firstLine="480" w:firstLineChars="200"/>
        <w:rPr>
          <w:rFonts w:ascii="宋体" w:hAnsi="宋体" w:cs="宋体"/>
          <w:sz w:val="24"/>
        </w:rPr>
      </w:pPr>
      <w:r>
        <w:rPr>
          <w:rFonts w:hint="eastAsia" w:ascii="宋体" w:hAnsi="宋体" w:cs="宋体"/>
          <w:sz w:val="24"/>
        </w:rPr>
        <w:t>1、自谈判截止日起60天谈判响应文件应保持有效。有效期不足的谈判响应文件将被拒绝。</w:t>
      </w:r>
    </w:p>
    <w:p>
      <w:pPr>
        <w:spacing w:line="440" w:lineRule="exact"/>
        <w:ind w:firstLine="480" w:firstLineChars="200"/>
        <w:rPr>
          <w:rFonts w:ascii="宋体" w:hAnsi="宋体" w:cs="宋体"/>
          <w:sz w:val="24"/>
        </w:rPr>
      </w:pPr>
      <w:r>
        <w:rPr>
          <w:rFonts w:hint="eastAsia" w:ascii="宋体" w:hAnsi="宋体" w:cs="宋体"/>
          <w:sz w:val="24"/>
        </w:rPr>
        <w:t>2、在特殊情况下，谈判方可与谈判响应方协商延长谈判响应文件的有效期，这种要求和答复均以书面形式进行。</w:t>
      </w:r>
    </w:p>
    <w:p>
      <w:pPr>
        <w:spacing w:line="440" w:lineRule="exact"/>
        <w:ind w:firstLine="480" w:firstLineChars="200"/>
        <w:rPr>
          <w:rFonts w:ascii="宋体" w:hAnsi="宋体" w:cs="宋体"/>
          <w:sz w:val="24"/>
        </w:rPr>
      </w:pPr>
      <w:r>
        <w:rPr>
          <w:rFonts w:hint="eastAsia" w:ascii="宋体" w:hAnsi="宋体" w:cs="宋体"/>
          <w:sz w:val="24"/>
        </w:rPr>
        <w:t xml:space="preserve">3、谈判响应方可拒绝接受延期要求，但不能修改谈判响应文件。 </w:t>
      </w:r>
    </w:p>
    <w:p>
      <w:pPr>
        <w:spacing w:line="440" w:lineRule="exact"/>
        <w:ind w:firstLine="480" w:firstLineChars="200"/>
        <w:rPr>
          <w:rFonts w:ascii="宋体" w:hAnsi="宋体" w:cs="宋体"/>
          <w:sz w:val="24"/>
        </w:rPr>
      </w:pPr>
      <w:r>
        <w:rPr>
          <w:rFonts w:hint="eastAsia" w:ascii="宋体" w:hAnsi="宋体" w:cs="宋体"/>
          <w:sz w:val="24"/>
        </w:rPr>
        <w:t>4、中标人的谈判响应文件自开标之日起至合同履行完毕止均应保持有效。</w:t>
      </w:r>
    </w:p>
    <w:p>
      <w:pPr>
        <w:spacing w:line="440" w:lineRule="exact"/>
        <w:rPr>
          <w:rFonts w:ascii="宋体" w:hAnsi="宋体" w:cs="宋体"/>
          <w:b/>
          <w:bCs/>
          <w:sz w:val="24"/>
        </w:rPr>
      </w:pPr>
      <w:r>
        <w:rPr>
          <w:rFonts w:hint="eastAsia" w:ascii="宋体" w:hAnsi="宋体"/>
          <w:b/>
          <w:sz w:val="24"/>
        </w:rPr>
        <w:t>★</w:t>
      </w:r>
      <w:r>
        <w:rPr>
          <w:rFonts w:hint="eastAsia" w:ascii="宋体" w:hAnsi="宋体" w:cs="宋体"/>
          <w:b/>
          <w:bCs/>
          <w:sz w:val="24"/>
        </w:rPr>
        <w:t>七、谈判响应文件的签署和盖章</w:t>
      </w:r>
    </w:p>
    <w:p>
      <w:pPr>
        <w:spacing w:line="440" w:lineRule="exact"/>
        <w:ind w:firstLine="480" w:firstLineChars="200"/>
        <w:rPr>
          <w:rFonts w:ascii="宋体" w:hAnsi="宋体" w:cs="宋体"/>
          <w:sz w:val="24"/>
        </w:rPr>
      </w:pPr>
      <w:r>
        <w:rPr>
          <w:rFonts w:hint="eastAsia" w:ascii="宋体" w:hAnsi="宋体" w:cs="宋体"/>
          <w:sz w:val="24"/>
        </w:rPr>
        <w:t>1、谈判响应方应按本采购文件规定的格式和顺序编制并标注页码，因谈判响应文件内容不完整、编排混乱等原因导致谈判响应文件被误读、漏读或者查找不到相关内容的，是谈判响应方的责任。</w:t>
      </w:r>
    </w:p>
    <w:p>
      <w:pPr>
        <w:spacing w:line="440" w:lineRule="exact"/>
        <w:ind w:firstLine="482" w:firstLineChars="200"/>
        <w:rPr>
          <w:rFonts w:ascii="宋体" w:hAnsi="宋体" w:cs="宋体"/>
          <w:b/>
          <w:bCs/>
          <w:sz w:val="24"/>
        </w:rPr>
      </w:pPr>
      <w:r>
        <w:rPr>
          <w:rFonts w:hint="eastAsia" w:ascii="宋体" w:hAnsi="宋体" w:cs="宋体"/>
          <w:b/>
          <w:bCs/>
          <w:sz w:val="24"/>
        </w:rPr>
        <w:t>2.谈判响应方应在评标结束之日起10日内，向学校提供纸质谈判响应文件，未按时或未按</w:t>
      </w:r>
      <w:r>
        <w:rPr>
          <w:rFonts w:hint="eastAsia" w:ascii="宋体" w:hAnsi="宋体" w:cs="宋体"/>
          <w:b/>
          <w:bCs/>
          <w:sz w:val="24"/>
          <w:lang w:eastAsia="zh-CN"/>
        </w:rPr>
        <w:t>竞争性响应</w:t>
      </w:r>
      <w:r>
        <w:rPr>
          <w:rFonts w:hint="eastAsia" w:ascii="宋体" w:hAnsi="宋体" w:cs="宋体"/>
          <w:b/>
          <w:bCs/>
          <w:sz w:val="24"/>
        </w:rPr>
        <w:t>文件规定提供纸质谈判响应文件的谈判响应方将以失信单位上报东阳市财政局采监科。</w:t>
      </w:r>
    </w:p>
    <w:p>
      <w:pPr>
        <w:spacing w:line="440" w:lineRule="exact"/>
        <w:rPr>
          <w:rFonts w:ascii="宋体" w:hAnsi="宋体" w:cs="宋体"/>
          <w:b/>
          <w:bCs/>
          <w:sz w:val="24"/>
        </w:rPr>
      </w:pPr>
      <w:r>
        <w:rPr>
          <w:rFonts w:hint="eastAsia" w:ascii="宋体" w:hAnsi="宋体" w:cs="宋体"/>
          <w:b/>
          <w:bCs/>
          <w:sz w:val="24"/>
        </w:rPr>
        <w:t>纸质谈判响应文件递交要求如下：</w:t>
      </w:r>
    </w:p>
    <w:p>
      <w:pPr>
        <w:numPr>
          <w:ilvl w:val="0"/>
          <w:numId w:val="5"/>
        </w:numPr>
        <w:spacing w:line="440" w:lineRule="exact"/>
        <w:rPr>
          <w:rFonts w:ascii="宋体" w:hAnsi="宋体" w:cs="宋体"/>
          <w:b/>
          <w:bCs/>
          <w:sz w:val="24"/>
        </w:rPr>
      </w:pPr>
      <w:r>
        <w:rPr>
          <w:rFonts w:hint="eastAsia" w:ascii="宋体" w:hAnsi="宋体" w:cs="宋体"/>
          <w:b/>
          <w:bCs/>
          <w:sz w:val="24"/>
        </w:rPr>
        <w:t>中标人须提供《资格审查文件》、《商务技术文件》、《报价文件》正本各1份、副本各</w:t>
      </w:r>
      <w:r>
        <w:rPr>
          <w:rFonts w:ascii="宋体" w:hAnsi="宋体" w:cs="宋体"/>
          <w:b/>
          <w:bCs/>
          <w:sz w:val="24"/>
        </w:rPr>
        <w:t>2</w:t>
      </w:r>
      <w:r>
        <w:rPr>
          <w:rFonts w:hint="eastAsia" w:ascii="宋体" w:hAnsi="宋体" w:cs="宋体"/>
          <w:b/>
          <w:bCs/>
          <w:sz w:val="24"/>
        </w:rPr>
        <w:t>份，分别编制并单独装订成册；封面应注明“正本”、“副本”字样。</w:t>
      </w:r>
    </w:p>
    <w:p>
      <w:pPr>
        <w:spacing w:line="460" w:lineRule="exact"/>
        <w:jc w:val="left"/>
      </w:pPr>
      <w:r>
        <w:rPr>
          <w:rFonts w:hint="eastAsia" w:ascii="宋体" w:hAnsi="宋体"/>
          <w:b/>
          <w:bCs/>
          <w:sz w:val="24"/>
        </w:rPr>
        <w:t>（2）未中标供应商须提供《资格审查文件》、《商务技术文件》、《报价文件》正本各1份，分别编制并单独装订成册；封面应注明“正本”字样。</w:t>
      </w:r>
    </w:p>
    <w:p>
      <w:pPr>
        <w:spacing w:line="440" w:lineRule="exact"/>
        <w:rPr>
          <w:rFonts w:ascii="宋体" w:hAnsi="宋体" w:cs="宋体"/>
          <w:b/>
          <w:bCs/>
          <w:sz w:val="24"/>
        </w:rPr>
      </w:pPr>
      <w:r>
        <w:rPr>
          <w:rFonts w:hint="eastAsia" w:ascii="宋体" w:hAnsi="宋体" w:cs="宋体"/>
          <w:sz w:val="24"/>
        </w:rPr>
        <w:t>（</w:t>
      </w:r>
      <w:r>
        <w:rPr>
          <w:rFonts w:hint="eastAsia" w:ascii="宋体" w:hAnsi="宋体" w:cs="宋体"/>
          <w:b/>
          <w:bCs/>
          <w:sz w:val="24"/>
        </w:rPr>
        <w:t>3）纸质谈判响应文件需打印或用不褪色的墨水填写，纸质谈判响应文件正本除本《谈判响应方须知》中规定的可提供复印件外均须提供原件。副本可为正本的复印件。</w:t>
      </w:r>
    </w:p>
    <w:p>
      <w:pPr>
        <w:spacing w:line="440" w:lineRule="exact"/>
        <w:ind w:firstLine="482" w:firstLineChars="200"/>
        <w:rPr>
          <w:rFonts w:ascii="宋体" w:hAnsi="宋体" w:cs="宋体"/>
          <w:b/>
          <w:sz w:val="24"/>
        </w:rPr>
      </w:pPr>
      <w:r>
        <w:rPr>
          <w:rFonts w:hint="eastAsia" w:ascii="宋体" w:hAnsi="宋体" w:cs="宋体"/>
          <w:b/>
          <w:sz w:val="24"/>
        </w:rPr>
        <w:t>3</w:t>
      </w:r>
      <w:r>
        <w:rPr>
          <w:rFonts w:hint="eastAsia" w:ascii="宋体" w:hAnsi="宋体" w:cs="宋体"/>
        </w:rPr>
        <w:t>、</w:t>
      </w:r>
      <w:r>
        <w:rPr>
          <w:rFonts w:hint="eastAsia" w:ascii="宋体" w:hAnsi="宋体" w:cs="宋体"/>
          <w:b/>
          <w:sz w:val="24"/>
        </w:rPr>
        <w:t>谈判响应文件需盖章签字的地方必须由谈判响应方法定代表人或法定代表人的授权委托人签署并加盖单位公章，谈判响应方应写全称。</w:t>
      </w:r>
    </w:p>
    <w:p>
      <w:pPr>
        <w:spacing w:line="440" w:lineRule="exact"/>
        <w:ind w:firstLine="480" w:firstLineChars="200"/>
        <w:rPr>
          <w:rFonts w:ascii="宋体" w:hAnsi="宋体" w:cs="宋体"/>
          <w:sz w:val="24"/>
        </w:rPr>
      </w:pPr>
      <w:r>
        <w:rPr>
          <w:rFonts w:hint="eastAsia" w:ascii="宋体" w:hAnsi="宋体" w:cs="宋体"/>
          <w:sz w:val="24"/>
        </w:rPr>
        <w:t>4、谈判响应文件不得涂改，若有修改错漏处，须加盖单位公章或者法定代表人或授权的委托代理人签字或盖章</w:t>
      </w:r>
      <w:r>
        <w:rPr>
          <w:rFonts w:hint="eastAsia" w:ascii="宋体" w:hAnsi="宋体" w:cs="宋体"/>
          <w:b/>
          <w:sz w:val="24"/>
        </w:rPr>
        <w:t>。</w:t>
      </w:r>
      <w:r>
        <w:rPr>
          <w:rFonts w:hint="eastAsia" w:ascii="宋体" w:hAnsi="宋体" w:cs="宋体"/>
          <w:sz w:val="24"/>
        </w:rPr>
        <w:t>谈判响应文件因字迹潦草或表达不清所引起的后果由谈判响应方负责。</w:t>
      </w:r>
    </w:p>
    <w:p>
      <w:pPr>
        <w:spacing w:line="440" w:lineRule="exact"/>
        <w:rPr>
          <w:rFonts w:ascii="宋体" w:hAnsi="宋体" w:cs="宋体"/>
          <w:b/>
          <w:bCs/>
          <w:sz w:val="24"/>
        </w:rPr>
      </w:pPr>
      <w:r>
        <w:rPr>
          <w:rFonts w:hint="eastAsia" w:ascii="宋体" w:hAnsi="宋体"/>
          <w:b/>
          <w:sz w:val="24"/>
        </w:rPr>
        <w:t>★</w:t>
      </w:r>
      <w:r>
        <w:rPr>
          <w:rFonts w:hint="eastAsia" w:ascii="宋体" w:hAnsi="宋体" w:cs="宋体"/>
          <w:b/>
          <w:bCs/>
          <w:sz w:val="24"/>
        </w:rPr>
        <w:t>八、</w:t>
      </w:r>
      <w:r>
        <w:rPr>
          <w:rFonts w:hint="eastAsia" w:ascii="宋体" w:hAnsi="宋体" w:cs="宋体"/>
          <w:b/>
          <w:sz w:val="24"/>
        </w:rPr>
        <w:t>谈判响应文件</w:t>
      </w:r>
      <w:r>
        <w:rPr>
          <w:rFonts w:hint="eastAsia" w:ascii="宋体" w:hAnsi="宋体" w:cs="宋体"/>
          <w:b/>
          <w:bCs/>
          <w:sz w:val="24"/>
        </w:rPr>
        <w:t>的上传、递交、修改和撤回</w:t>
      </w:r>
    </w:p>
    <w:p>
      <w:pPr>
        <w:spacing w:line="440" w:lineRule="exact"/>
        <w:ind w:firstLine="480" w:firstLineChars="200"/>
        <w:rPr>
          <w:rFonts w:ascii="宋体" w:hAnsi="宋体" w:cs="宋体"/>
          <w:strike/>
          <w:sz w:val="24"/>
        </w:rPr>
      </w:pPr>
      <w:r>
        <w:rPr>
          <w:rFonts w:hint="eastAsia" w:ascii="宋体" w:hAnsi="宋体" w:cs="宋体"/>
          <w:sz w:val="24"/>
        </w:rPr>
        <w:t>谈判响应方在谈判截止时间之前，可以对已提交的电子谈判响应文件进行修改或撤回，并</w:t>
      </w:r>
      <w:r>
        <w:rPr>
          <w:rFonts w:hint="eastAsia" w:ascii="宋体" w:hAnsi="宋体" w:cs="宋体"/>
          <w:sz w:val="24"/>
          <w:lang w:eastAsia="zh-CN"/>
        </w:rPr>
        <w:t>电话</w:t>
      </w:r>
      <w:r>
        <w:rPr>
          <w:rFonts w:hint="eastAsia" w:ascii="宋体" w:hAnsi="宋体" w:cs="宋体"/>
          <w:sz w:val="24"/>
        </w:rPr>
        <w:t>通知招标采购单位</w:t>
      </w:r>
      <w:r>
        <w:rPr>
          <w:rFonts w:hint="eastAsia" w:ascii="宋体" w:hAnsi="宋体" w:cs="宋体"/>
          <w:sz w:val="24"/>
          <w:lang w:eastAsia="zh-CN"/>
        </w:rPr>
        <w:t>，再书面资料发邮箱确认</w:t>
      </w:r>
      <w:r>
        <w:rPr>
          <w:rFonts w:hint="eastAsia" w:ascii="宋体" w:hAnsi="宋体" w:cs="宋体"/>
          <w:sz w:val="24"/>
        </w:rPr>
        <w:t>；修改后重新递交的电子备份谈判响应文件应当按本招标文件的要求签署、盖章。谈判截止时间后，谈判响应方不得撤回、修改电子备份谈判响应文件。</w:t>
      </w:r>
    </w:p>
    <w:p>
      <w:pPr>
        <w:spacing w:line="440" w:lineRule="exact"/>
        <w:ind w:firstLine="482" w:firstLineChars="200"/>
        <w:rPr>
          <w:rFonts w:hint="eastAsia"/>
          <w:lang w:eastAsia="zh-CN"/>
        </w:rPr>
      </w:pPr>
      <w:r>
        <w:rPr>
          <w:rFonts w:hint="eastAsia" w:ascii="宋体" w:hAnsi="宋体" w:cs="宋体"/>
          <w:b/>
          <w:bCs/>
          <w:sz w:val="24"/>
          <w:lang w:eastAsia="zh-CN"/>
        </w:rPr>
        <w:t>特殊情况说明：有投标人在同一时间段重复发两次及以上的</w:t>
      </w:r>
      <w:r>
        <w:rPr>
          <w:rFonts w:hint="eastAsia" w:ascii="宋体" w:hAnsi="宋体" w:cs="宋体"/>
          <w:b/>
          <w:bCs/>
          <w:sz w:val="24"/>
        </w:rPr>
        <w:t>电子谈判响应文件</w:t>
      </w:r>
      <w:r>
        <w:rPr>
          <w:rFonts w:hint="eastAsia" w:ascii="宋体" w:hAnsi="宋体" w:cs="宋体"/>
          <w:b/>
          <w:bCs/>
          <w:sz w:val="24"/>
          <w:lang w:eastAsia="zh-CN"/>
        </w:rPr>
        <w:t>至邮箱的，开标时以最后一次时间为准。</w:t>
      </w:r>
    </w:p>
    <w:p>
      <w:pPr>
        <w:spacing w:line="440" w:lineRule="exact"/>
        <w:rPr>
          <w:rFonts w:ascii="宋体" w:hAnsi="宋体" w:cs="宋体"/>
          <w:b/>
          <w:bCs/>
          <w:sz w:val="24"/>
        </w:rPr>
      </w:pPr>
      <w:r>
        <w:rPr>
          <w:rFonts w:hint="eastAsia" w:ascii="宋体" w:hAnsi="宋体" w:cs="宋体"/>
          <w:b/>
          <w:bCs/>
          <w:sz w:val="24"/>
        </w:rPr>
        <w:t>九、无效谈判的具体情形</w:t>
      </w:r>
    </w:p>
    <w:p>
      <w:pPr>
        <w:spacing w:line="440" w:lineRule="exact"/>
        <w:ind w:firstLine="360" w:firstLineChars="150"/>
        <w:rPr>
          <w:rFonts w:ascii="宋体" w:hAnsi="宋体" w:cs="宋体"/>
          <w:bCs/>
          <w:sz w:val="24"/>
        </w:rPr>
      </w:pPr>
      <w:r>
        <w:rPr>
          <w:rFonts w:hint="eastAsia" w:ascii="宋体" w:hAnsi="宋体" w:cs="宋体"/>
          <w:bCs/>
          <w:sz w:val="24"/>
        </w:rPr>
        <w:t>（1）未在规定的时间内进行谈判响应确认的；</w:t>
      </w:r>
    </w:p>
    <w:p>
      <w:pPr>
        <w:spacing w:line="440" w:lineRule="exact"/>
        <w:ind w:firstLine="360" w:firstLineChars="150"/>
        <w:rPr>
          <w:rFonts w:ascii="宋体" w:hAnsi="宋体" w:cs="宋体"/>
          <w:sz w:val="24"/>
        </w:rPr>
      </w:pPr>
      <w:r>
        <w:rPr>
          <w:rFonts w:hint="eastAsia" w:ascii="宋体" w:hAnsi="宋体" w:cs="宋体"/>
          <w:bCs/>
          <w:sz w:val="24"/>
        </w:rPr>
        <w:t>（2）</w:t>
      </w:r>
      <w:r>
        <w:rPr>
          <w:rFonts w:hint="eastAsia" w:ascii="宋体" w:hAnsi="宋体" w:cs="宋体"/>
          <w:sz w:val="24"/>
        </w:rPr>
        <w:t>谈判响应方仅提交电子备份谈判响应文件的；</w:t>
      </w:r>
    </w:p>
    <w:p>
      <w:pPr>
        <w:spacing w:line="440" w:lineRule="exact"/>
        <w:ind w:firstLine="360" w:firstLineChars="150"/>
        <w:rPr>
          <w:rFonts w:ascii="宋体" w:hAnsi="宋体" w:cs="宋体"/>
          <w:sz w:val="24"/>
        </w:rPr>
      </w:pPr>
      <w:r>
        <w:rPr>
          <w:rFonts w:hint="eastAsia" w:ascii="宋体" w:hAnsi="宋体" w:cs="宋体"/>
          <w:bCs/>
          <w:sz w:val="24"/>
        </w:rPr>
        <w:t>（3）</w:t>
      </w:r>
      <w:r>
        <w:rPr>
          <w:rFonts w:hint="eastAsia" w:ascii="宋体" w:hAnsi="宋体" w:cs="宋体"/>
          <w:sz w:val="24"/>
        </w:rPr>
        <w:t>在开评标时出现电子谈判响应文件无法读取或读取失败等情况，谈判响应方未提供电子备份谈判响应文件，无法对谈判响应方继续进行评审的；</w:t>
      </w:r>
    </w:p>
    <w:p>
      <w:pPr>
        <w:spacing w:line="440" w:lineRule="exact"/>
        <w:ind w:firstLine="360" w:firstLineChars="150"/>
        <w:rPr>
          <w:rFonts w:ascii="宋体" w:hAnsi="宋体" w:cs="宋体"/>
          <w:bCs/>
          <w:sz w:val="24"/>
        </w:rPr>
      </w:pPr>
      <w:r>
        <w:rPr>
          <w:rFonts w:hint="eastAsia" w:ascii="宋体" w:hAnsi="宋体"/>
          <w:sz w:val="24"/>
        </w:rPr>
        <w:t>（4）未提供招标文件中标有“*”、“ ▲”、“※”、“★”等特殊符号的证明文件的；</w:t>
      </w:r>
    </w:p>
    <w:p>
      <w:pPr>
        <w:spacing w:line="440" w:lineRule="exact"/>
        <w:ind w:firstLine="360" w:firstLineChars="150"/>
        <w:rPr>
          <w:rFonts w:ascii="宋体" w:hAnsi="宋体" w:cs="宋体"/>
          <w:bCs/>
          <w:sz w:val="24"/>
        </w:rPr>
      </w:pPr>
      <w:r>
        <w:rPr>
          <w:rFonts w:hint="eastAsia" w:ascii="宋体" w:hAnsi="宋体" w:cs="宋体"/>
          <w:bCs/>
          <w:sz w:val="24"/>
        </w:rPr>
        <w:t>（5）谈判响应方最终报价超过本项目采购人设定的最高限价的；</w:t>
      </w:r>
    </w:p>
    <w:p>
      <w:pPr>
        <w:snapToGrid w:val="0"/>
        <w:spacing w:line="440" w:lineRule="exact"/>
        <w:ind w:firstLine="360" w:firstLineChars="150"/>
        <w:rPr>
          <w:rFonts w:ascii="宋体" w:hAnsi="宋体" w:cs="宋体"/>
          <w:bCs/>
          <w:kern w:val="0"/>
          <w:sz w:val="24"/>
          <w:szCs w:val="20"/>
        </w:rPr>
      </w:pPr>
      <w:r>
        <w:rPr>
          <w:rFonts w:hint="eastAsia" w:ascii="宋体" w:hAnsi="宋体" w:cs="宋体"/>
          <w:sz w:val="24"/>
        </w:rPr>
        <w:t>（</w:t>
      </w:r>
      <w:r>
        <w:rPr>
          <w:rFonts w:ascii="宋体" w:hAnsi="宋体" w:cs="宋体"/>
          <w:sz w:val="24"/>
        </w:rPr>
        <w:t>6</w:t>
      </w:r>
      <w:r>
        <w:rPr>
          <w:rFonts w:hint="eastAsia" w:ascii="宋体" w:hAnsi="宋体" w:cs="宋体"/>
          <w:sz w:val="24"/>
        </w:rPr>
        <w:t>）谈判响应文件无法定代表人签字,或未</w:t>
      </w:r>
      <w:r>
        <w:rPr>
          <w:rFonts w:hint="eastAsia" w:ascii="宋体" w:hAnsi="宋体" w:cs="宋体"/>
          <w:bCs/>
          <w:kern w:val="0"/>
          <w:sz w:val="24"/>
        </w:rPr>
        <w:t>提供法定代表人授权委托书或者填写项目不齐全的；</w:t>
      </w:r>
    </w:p>
    <w:p>
      <w:pPr>
        <w:autoSpaceDE w:val="0"/>
        <w:autoSpaceDN w:val="0"/>
        <w:adjustRightInd w:val="0"/>
        <w:snapToGrid w:val="0"/>
        <w:spacing w:line="440" w:lineRule="exact"/>
        <w:ind w:firstLine="360" w:firstLineChars="150"/>
        <w:textAlignment w:val="baseline"/>
        <w:rPr>
          <w:rFonts w:ascii="宋体" w:hAnsi="宋体" w:cs="宋体"/>
          <w:snapToGrid w:val="0"/>
          <w:kern w:val="0"/>
          <w:sz w:val="24"/>
          <w:szCs w:val="20"/>
        </w:rPr>
      </w:pPr>
      <w:r>
        <w:rPr>
          <w:rFonts w:hint="eastAsia" w:ascii="宋体" w:hAnsi="宋体" w:cs="宋体"/>
          <w:kern w:val="0"/>
          <w:sz w:val="24"/>
          <w:szCs w:val="20"/>
        </w:rPr>
        <w:t>（</w:t>
      </w:r>
      <w:r>
        <w:rPr>
          <w:rFonts w:ascii="宋体" w:hAnsi="宋体" w:cs="宋体"/>
          <w:snapToGrid w:val="0"/>
          <w:kern w:val="0"/>
          <w:sz w:val="24"/>
          <w:szCs w:val="20"/>
        </w:rPr>
        <w:t>7</w:t>
      </w:r>
      <w:r>
        <w:rPr>
          <w:rFonts w:hint="eastAsia" w:ascii="宋体" w:hAnsi="宋体" w:cs="宋体"/>
          <w:snapToGrid w:val="0"/>
          <w:kern w:val="0"/>
          <w:sz w:val="24"/>
          <w:szCs w:val="20"/>
        </w:rPr>
        <w:t>）</w:t>
      </w:r>
      <w:r>
        <w:rPr>
          <w:rFonts w:hint="eastAsia" w:ascii="宋体" w:hAnsi="宋体" w:cs="宋体"/>
          <w:kern w:val="0"/>
          <w:sz w:val="24"/>
          <w:szCs w:val="20"/>
        </w:rPr>
        <w:t>谈判响应文件格式未按采购文件规定格式的、未按采购文件规定的内容编制谈判响应文件的或者内容虚假的</w:t>
      </w:r>
      <w:r>
        <w:rPr>
          <w:rFonts w:hint="eastAsia" w:ascii="宋体" w:hAnsi="宋体" w:cs="宋体"/>
          <w:bCs/>
          <w:kern w:val="0"/>
          <w:sz w:val="24"/>
          <w:szCs w:val="20"/>
        </w:rPr>
        <w:t>、未按规定签字或盖章的</w:t>
      </w:r>
      <w:r>
        <w:rPr>
          <w:rFonts w:hint="eastAsia" w:ascii="宋体" w:hAnsi="宋体" w:cs="宋体"/>
          <w:kern w:val="0"/>
          <w:sz w:val="24"/>
          <w:szCs w:val="20"/>
        </w:rPr>
        <w:t>；</w:t>
      </w:r>
    </w:p>
    <w:p>
      <w:pPr>
        <w:autoSpaceDE w:val="0"/>
        <w:autoSpaceDN w:val="0"/>
        <w:adjustRightInd w:val="0"/>
        <w:snapToGrid w:val="0"/>
        <w:spacing w:line="440" w:lineRule="exact"/>
        <w:ind w:firstLine="360" w:firstLineChars="150"/>
        <w:textAlignment w:val="baseline"/>
        <w:rPr>
          <w:rFonts w:ascii="宋体" w:hAnsi="宋体" w:cs="宋体"/>
          <w:snapToGrid w:val="0"/>
          <w:kern w:val="0"/>
          <w:sz w:val="24"/>
          <w:szCs w:val="20"/>
        </w:rPr>
      </w:pPr>
      <w:r>
        <w:rPr>
          <w:rFonts w:hint="eastAsia" w:ascii="宋体" w:hAnsi="宋体" w:cs="宋体"/>
          <w:kern w:val="0"/>
          <w:sz w:val="24"/>
          <w:szCs w:val="20"/>
        </w:rPr>
        <w:t>（</w:t>
      </w:r>
      <w:r>
        <w:rPr>
          <w:rFonts w:ascii="宋体" w:hAnsi="宋体" w:cs="宋体"/>
          <w:kern w:val="0"/>
          <w:sz w:val="24"/>
          <w:szCs w:val="20"/>
        </w:rPr>
        <w:t>8</w:t>
      </w:r>
      <w:r>
        <w:rPr>
          <w:rFonts w:hint="eastAsia" w:ascii="宋体" w:hAnsi="宋体" w:cs="宋体"/>
          <w:kern w:val="0"/>
          <w:sz w:val="24"/>
          <w:szCs w:val="20"/>
        </w:rPr>
        <w:t>）</w:t>
      </w:r>
      <w:r>
        <w:rPr>
          <w:rFonts w:hint="eastAsia" w:ascii="宋体" w:hAnsi="宋体" w:cs="宋体"/>
          <w:snapToGrid w:val="0"/>
          <w:kern w:val="0"/>
          <w:sz w:val="24"/>
          <w:szCs w:val="20"/>
        </w:rPr>
        <w:t>谈判有效期、服务期（工期）、免费维护期等商务条款不能满足采购文件要求的；</w:t>
      </w:r>
    </w:p>
    <w:p>
      <w:pPr>
        <w:autoSpaceDE w:val="0"/>
        <w:autoSpaceDN w:val="0"/>
        <w:adjustRightInd w:val="0"/>
        <w:snapToGrid w:val="0"/>
        <w:spacing w:line="440" w:lineRule="exact"/>
        <w:textAlignment w:val="baseline"/>
        <w:rPr>
          <w:rFonts w:ascii="宋体" w:hAnsi="宋体" w:cs="宋体"/>
          <w:kern w:val="0"/>
          <w:sz w:val="24"/>
          <w:szCs w:val="20"/>
        </w:rPr>
      </w:pPr>
      <w:r>
        <w:rPr>
          <w:rFonts w:hint="eastAsia" w:ascii="宋体" w:hAnsi="宋体" w:cs="宋体"/>
          <w:kern w:val="0"/>
          <w:sz w:val="24"/>
          <w:szCs w:val="20"/>
        </w:rPr>
        <w:t xml:space="preserve">   （</w:t>
      </w:r>
      <w:r>
        <w:rPr>
          <w:rFonts w:ascii="宋体" w:hAnsi="宋体" w:cs="宋体"/>
          <w:kern w:val="0"/>
          <w:sz w:val="24"/>
          <w:szCs w:val="20"/>
        </w:rPr>
        <w:t>9</w:t>
      </w:r>
      <w:r>
        <w:rPr>
          <w:rFonts w:hint="eastAsia" w:ascii="宋体" w:hAnsi="宋体" w:cs="宋体"/>
          <w:kern w:val="0"/>
          <w:sz w:val="24"/>
          <w:szCs w:val="20"/>
        </w:rPr>
        <w:t>）未实质性响应采购文件要求或者谈判响应文件有采购人不能接受的附加条件的；</w:t>
      </w:r>
    </w:p>
    <w:p>
      <w:pPr>
        <w:autoSpaceDE w:val="0"/>
        <w:autoSpaceDN w:val="0"/>
        <w:adjustRightInd w:val="0"/>
        <w:snapToGrid w:val="0"/>
        <w:spacing w:line="440" w:lineRule="exact"/>
        <w:ind w:firstLine="360" w:firstLineChars="150"/>
        <w:textAlignment w:val="baseline"/>
        <w:rPr>
          <w:rFonts w:ascii="宋体" w:hAnsi="宋体" w:cs="宋体"/>
          <w:kern w:val="0"/>
          <w:sz w:val="24"/>
          <w:szCs w:val="20"/>
        </w:rPr>
      </w:pPr>
      <w:r>
        <w:rPr>
          <w:rFonts w:hint="eastAsia" w:ascii="宋体" w:hAnsi="宋体" w:cs="宋体"/>
          <w:kern w:val="0"/>
          <w:sz w:val="24"/>
          <w:szCs w:val="20"/>
        </w:rPr>
        <w:t>（1</w:t>
      </w:r>
      <w:r>
        <w:rPr>
          <w:rFonts w:ascii="宋体" w:hAnsi="宋体" w:cs="宋体"/>
          <w:kern w:val="0"/>
          <w:sz w:val="24"/>
          <w:szCs w:val="20"/>
        </w:rPr>
        <w:t>0</w:t>
      </w:r>
      <w:r>
        <w:rPr>
          <w:rFonts w:hint="eastAsia" w:ascii="宋体" w:hAnsi="宋体" w:cs="宋体"/>
          <w:kern w:val="0"/>
          <w:sz w:val="24"/>
          <w:szCs w:val="20"/>
        </w:rPr>
        <w:t>）采购文件规定的其它谈判无效的情况；</w:t>
      </w:r>
    </w:p>
    <w:p>
      <w:pPr>
        <w:autoSpaceDE w:val="0"/>
        <w:autoSpaceDN w:val="0"/>
        <w:adjustRightInd w:val="0"/>
        <w:snapToGrid w:val="0"/>
        <w:spacing w:line="440" w:lineRule="exact"/>
        <w:ind w:firstLine="360" w:firstLineChars="150"/>
        <w:textAlignment w:val="baseline"/>
        <w:rPr>
          <w:rFonts w:hint="eastAsia" w:ascii="宋体" w:hAnsi="宋体" w:cs="宋体"/>
          <w:sz w:val="24"/>
        </w:rPr>
      </w:pPr>
      <w:r>
        <w:rPr>
          <w:rFonts w:hint="eastAsia" w:ascii="宋体" w:hAnsi="宋体" w:cs="宋体"/>
          <w:kern w:val="0"/>
          <w:sz w:val="24"/>
          <w:szCs w:val="20"/>
        </w:rPr>
        <w:t>（1</w:t>
      </w:r>
      <w:r>
        <w:rPr>
          <w:rFonts w:ascii="宋体" w:hAnsi="宋体" w:cs="宋体"/>
          <w:kern w:val="0"/>
          <w:sz w:val="24"/>
          <w:szCs w:val="20"/>
        </w:rPr>
        <w:t>1</w:t>
      </w:r>
      <w:r>
        <w:rPr>
          <w:rFonts w:hint="eastAsia" w:ascii="宋体" w:hAnsi="宋体" w:cs="宋体"/>
          <w:kern w:val="0"/>
          <w:sz w:val="24"/>
          <w:szCs w:val="20"/>
        </w:rPr>
        <w:t>）法律</w:t>
      </w:r>
      <w:r>
        <w:rPr>
          <w:rFonts w:hint="eastAsia" w:ascii="宋体" w:hAnsi="宋体" w:cs="宋体"/>
          <w:sz w:val="24"/>
        </w:rPr>
        <w:t>、法规规定的其它谈判无效情况。</w:t>
      </w:r>
    </w:p>
    <w:p>
      <w:pPr>
        <w:pStyle w:val="10"/>
        <w:keepNext w:val="0"/>
        <w:keepLines w:val="0"/>
        <w:pageBreakBefore w:val="0"/>
        <w:widowControl w:val="0"/>
        <w:kinsoku/>
        <w:wordWrap/>
        <w:overflowPunct/>
        <w:topLinePunct w:val="0"/>
        <w:autoSpaceDE/>
        <w:autoSpaceDN/>
        <w:bidi w:val="0"/>
        <w:adjustRightInd/>
        <w:snapToGrid w:val="0"/>
        <w:spacing w:beforeLines="0" w:afterLines="0" w:line="440" w:lineRule="exact"/>
        <w:textAlignment w:val="auto"/>
        <w:rPr>
          <w:rFonts w:hint="eastAsia" w:hAnsi="宋体"/>
          <w:b/>
          <w:bCs w:val="0"/>
          <w:color w:val="auto"/>
          <w:highlight w:val="none"/>
          <w:lang w:eastAsia="zh-CN"/>
        </w:rPr>
      </w:pPr>
    </w:p>
    <w:p>
      <w:pPr>
        <w:pStyle w:val="10"/>
        <w:keepNext w:val="0"/>
        <w:keepLines w:val="0"/>
        <w:pageBreakBefore w:val="0"/>
        <w:widowControl w:val="0"/>
        <w:kinsoku/>
        <w:wordWrap/>
        <w:overflowPunct/>
        <w:topLinePunct w:val="0"/>
        <w:autoSpaceDE/>
        <w:autoSpaceDN/>
        <w:bidi w:val="0"/>
        <w:adjustRightInd/>
        <w:snapToGrid w:val="0"/>
        <w:spacing w:beforeLines="0" w:afterLines="0" w:line="440" w:lineRule="exact"/>
        <w:textAlignment w:val="auto"/>
        <w:rPr>
          <w:rFonts w:hint="eastAsia" w:hAnsi="宋体"/>
          <w:bCs/>
          <w:color w:val="auto"/>
          <w:highlight w:val="none"/>
        </w:rPr>
      </w:pPr>
      <w:r>
        <w:rPr>
          <w:rFonts w:hint="eastAsia" w:hAnsi="宋体"/>
          <w:b/>
          <w:bCs w:val="0"/>
          <w:color w:val="auto"/>
          <w:highlight w:val="none"/>
          <w:lang w:eastAsia="zh-CN"/>
        </w:rPr>
        <w:t>十、</w:t>
      </w:r>
      <w:r>
        <w:rPr>
          <w:rFonts w:hint="eastAsia" w:hAnsi="宋体"/>
          <w:b/>
          <w:bCs w:val="0"/>
          <w:color w:val="auto"/>
          <w:highlight w:val="none"/>
        </w:rPr>
        <w:t>特殊情况处理</w:t>
      </w:r>
    </w:p>
    <w:p>
      <w:pPr>
        <w:pStyle w:val="3"/>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投标文件评审期间采购响应（指投标或谈判、报价，下同），出现有效供应商不足3家的，经</w:t>
      </w:r>
      <w:r>
        <w:rPr>
          <w:rFonts w:hint="eastAsia" w:ascii="宋体" w:hAnsi="宋体" w:cs="宋体"/>
          <w:kern w:val="0"/>
          <w:sz w:val="24"/>
          <w:szCs w:val="20"/>
          <w:lang w:val="en-US" w:eastAsia="zh-CN" w:bidi="ar-SA"/>
        </w:rPr>
        <w:t>学校</w:t>
      </w:r>
      <w:r>
        <w:rPr>
          <w:rFonts w:hint="eastAsia" w:ascii="宋体" w:hAnsi="宋体" w:eastAsia="宋体" w:cs="宋体"/>
          <w:kern w:val="0"/>
          <w:sz w:val="24"/>
          <w:szCs w:val="20"/>
          <w:lang w:val="en-US" w:eastAsia="zh-CN" w:bidi="ar-SA"/>
        </w:rPr>
        <w:t>同意，可以按原采购方式继续进行采购活动</w:t>
      </w:r>
      <w:r>
        <w:rPr>
          <w:rFonts w:hint="eastAsia" w:ascii="宋体" w:hAnsi="宋体" w:cs="宋体"/>
          <w:kern w:val="0"/>
          <w:sz w:val="24"/>
          <w:szCs w:val="20"/>
          <w:lang w:val="en-US" w:eastAsia="zh-CN" w:bidi="ar-SA"/>
        </w:rPr>
        <w:t>；</w:t>
      </w:r>
      <w:r>
        <w:rPr>
          <w:rFonts w:hint="eastAsia" w:ascii="宋体" w:hAnsi="宋体" w:eastAsia="宋体" w:cs="宋体"/>
          <w:kern w:val="0"/>
          <w:sz w:val="24"/>
          <w:szCs w:val="20"/>
          <w:lang w:val="en-US" w:eastAsia="zh-CN" w:bidi="ar-SA"/>
        </w:rPr>
        <w:t>出现有效供应商</w:t>
      </w:r>
      <w:r>
        <w:rPr>
          <w:rFonts w:hint="eastAsia" w:ascii="宋体" w:hAnsi="宋体" w:cs="宋体"/>
          <w:kern w:val="0"/>
          <w:sz w:val="24"/>
          <w:szCs w:val="20"/>
          <w:lang w:val="en-US" w:eastAsia="zh-CN" w:bidi="ar-SA"/>
        </w:rPr>
        <w:t>只有1</w:t>
      </w:r>
      <w:r>
        <w:rPr>
          <w:rFonts w:hint="eastAsia" w:ascii="宋体" w:hAnsi="宋体" w:eastAsia="宋体" w:cs="宋体"/>
          <w:kern w:val="0"/>
          <w:sz w:val="24"/>
          <w:szCs w:val="20"/>
          <w:lang w:val="en-US" w:eastAsia="zh-CN" w:bidi="ar-SA"/>
        </w:rPr>
        <w:t>家的</w:t>
      </w:r>
      <w:r>
        <w:rPr>
          <w:rFonts w:hint="eastAsia" w:ascii="宋体" w:hAnsi="宋体" w:cs="宋体"/>
          <w:kern w:val="0"/>
          <w:sz w:val="24"/>
          <w:szCs w:val="20"/>
          <w:lang w:val="en-US" w:eastAsia="zh-CN" w:bidi="ar-SA"/>
        </w:rPr>
        <w:t>更改为单一来源采购；</w:t>
      </w:r>
      <w:r>
        <w:rPr>
          <w:rFonts w:hint="eastAsia" w:ascii="宋体" w:hAnsi="宋体" w:eastAsia="宋体" w:cs="宋体"/>
          <w:kern w:val="0"/>
          <w:sz w:val="24"/>
          <w:szCs w:val="20"/>
          <w:lang w:val="en-US" w:eastAsia="zh-CN" w:bidi="ar-SA"/>
        </w:rPr>
        <w:t>更改采购方式时，原评标委员会所有成员，单一来源采购的谈判小组成员。</w:t>
      </w:r>
    </w:p>
    <w:p>
      <w:pPr>
        <w:pStyle w:val="44"/>
        <w:snapToGrid w:val="0"/>
        <w:spacing w:line="360" w:lineRule="auto"/>
        <w:ind w:firstLine="480"/>
        <w:rPr>
          <w:rFonts w:cs="宋体"/>
          <w:bCs/>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4"/>
        <w:keepNext w:val="0"/>
        <w:keepLines w:val="0"/>
        <w:pageBreakBefore/>
        <w:spacing w:line="415" w:lineRule="auto"/>
        <w:jc w:val="center"/>
        <w:rPr>
          <w:rFonts w:ascii="宋体" w:hAnsi="宋体" w:cs="宋体"/>
          <w:sz w:val="32"/>
          <w:szCs w:val="32"/>
        </w:rPr>
      </w:pPr>
      <w:bookmarkStart w:id="7" w:name="_Toc31127"/>
      <w:r>
        <w:rPr>
          <w:rFonts w:hint="eastAsia" w:ascii="宋体" w:hAnsi="宋体" w:cs="宋体"/>
          <w:sz w:val="32"/>
          <w:szCs w:val="32"/>
        </w:rPr>
        <w:t>第五章 谈判方法和程序</w:t>
      </w:r>
      <w:bookmarkEnd w:id="7"/>
    </w:p>
    <w:p>
      <w:pPr>
        <w:spacing w:line="360" w:lineRule="auto"/>
        <w:rPr>
          <w:rFonts w:ascii="宋体" w:hAnsi="宋体" w:cs="宋体"/>
          <w:b/>
          <w:sz w:val="24"/>
        </w:rPr>
      </w:pPr>
      <w:r>
        <w:rPr>
          <w:rFonts w:hint="eastAsia" w:ascii="宋体" w:hAnsi="宋体" w:cs="宋体"/>
          <w:b/>
          <w:sz w:val="24"/>
        </w:rPr>
        <w:t>一</w:t>
      </w:r>
      <w:r>
        <w:rPr>
          <w:rFonts w:hint="eastAsia" w:ascii="宋体" w:hAnsi="宋体" w:cs="宋体"/>
          <w:sz w:val="24"/>
        </w:rPr>
        <w:t>、</w:t>
      </w:r>
      <w:r>
        <w:rPr>
          <w:rFonts w:hint="eastAsia" w:ascii="宋体" w:hAnsi="宋体" w:cs="宋体"/>
          <w:b/>
          <w:sz w:val="24"/>
        </w:rPr>
        <w:t>开标准备</w:t>
      </w:r>
    </w:p>
    <w:p>
      <w:pPr>
        <w:spacing w:line="360" w:lineRule="auto"/>
        <w:ind w:firstLine="480" w:firstLineChars="200"/>
        <w:rPr>
          <w:rFonts w:ascii="宋体" w:hAnsi="宋体" w:cs="宋体"/>
          <w:bCs/>
          <w:strike/>
          <w:sz w:val="24"/>
        </w:rPr>
      </w:pPr>
      <w:r>
        <w:rPr>
          <w:rFonts w:hint="eastAsia" w:ascii="宋体" w:hAnsi="宋体" w:cs="宋体"/>
          <w:bCs/>
          <w:sz w:val="24"/>
        </w:rPr>
        <w:t>将在规定的时间和地点进行电子开标，谈判响应方的法定代表人或其委托代理人【委托代理人应当是谈判响应方的在职正式职工】应做好谈判响应准备，准时在线参加电子开标会议，随时关注开标进度。</w:t>
      </w:r>
    </w:p>
    <w:p>
      <w:pPr>
        <w:spacing w:line="360" w:lineRule="auto"/>
        <w:rPr>
          <w:rFonts w:ascii="宋体" w:hAnsi="宋体" w:cs="宋体"/>
          <w:b/>
          <w:sz w:val="24"/>
        </w:rPr>
      </w:pPr>
      <w:r>
        <w:rPr>
          <w:rFonts w:hint="eastAsia" w:ascii="宋体" w:hAnsi="宋体" w:cs="宋体"/>
          <w:b/>
          <w:sz w:val="24"/>
        </w:rPr>
        <w:t>二、谈判小组</w:t>
      </w:r>
    </w:p>
    <w:p>
      <w:pPr>
        <w:spacing w:line="360" w:lineRule="auto"/>
        <w:ind w:firstLine="480" w:firstLineChars="200"/>
        <w:rPr>
          <w:rFonts w:ascii="宋体" w:hAnsi="宋体" w:cs="宋体"/>
          <w:sz w:val="24"/>
        </w:rPr>
      </w:pPr>
      <w:r>
        <w:rPr>
          <w:rFonts w:hint="eastAsia" w:ascii="宋体" w:hAnsi="宋体" w:cs="宋体"/>
          <w:sz w:val="24"/>
        </w:rPr>
        <w:t>我校将根据谈判项目的特点依法组建谈判小组，人员由学校评审专家</w:t>
      </w:r>
      <w:r>
        <w:rPr>
          <w:rFonts w:ascii="宋体" w:hAnsi="宋体" w:cs="宋体"/>
          <w:sz w:val="24"/>
          <w:u w:val="single"/>
        </w:rPr>
        <w:t>2</w:t>
      </w:r>
      <w:r>
        <w:rPr>
          <w:rFonts w:hint="eastAsia" w:ascii="宋体" w:hAnsi="宋体" w:cs="宋体"/>
          <w:sz w:val="24"/>
        </w:rPr>
        <w:t>人和采购部门代表</w:t>
      </w:r>
      <w:r>
        <w:rPr>
          <w:rFonts w:hint="eastAsia" w:ascii="宋体" w:hAnsi="宋体" w:cs="宋体"/>
          <w:sz w:val="24"/>
          <w:u w:val="single"/>
        </w:rPr>
        <w:t>1</w:t>
      </w:r>
      <w:r>
        <w:rPr>
          <w:rFonts w:hint="eastAsia" w:ascii="宋体" w:hAnsi="宋体" w:cs="宋体"/>
          <w:sz w:val="24"/>
        </w:rPr>
        <w:t>人,共</w:t>
      </w:r>
      <w:r>
        <w:rPr>
          <w:rFonts w:ascii="宋体" w:hAnsi="宋体" w:cs="宋体"/>
          <w:sz w:val="24"/>
          <w:u w:val="single"/>
        </w:rPr>
        <w:t>3</w:t>
      </w:r>
      <w:r>
        <w:rPr>
          <w:rFonts w:hint="eastAsia" w:ascii="宋体" w:hAnsi="宋体" w:cs="宋体"/>
          <w:sz w:val="24"/>
        </w:rPr>
        <w:t>人组成（允许采购人不推荐采购人代表参加，如采购人不推荐采购人代表参加评审时，谈判小组（</w:t>
      </w:r>
      <w:r>
        <w:rPr>
          <w:rFonts w:ascii="宋体" w:hAnsi="宋体" w:cs="宋体"/>
          <w:sz w:val="24"/>
        </w:rPr>
        <w:t>3</w:t>
      </w:r>
      <w:r>
        <w:rPr>
          <w:rFonts w:hint="eastAsia" w:ascii="宋体" w:hAnsi="宋体" w:cs="宋体"/>
          <w:sz w:val="24"/>
        </w:rPr>
        <w:t>人）都从评标专家库中抽取），其成员从采购人和政采购评审的具有技术、商务等方面专长的专家库中通过随机方式抽取组成谈判小组,将对谈判响应文件进行审查、质疑、评估和比较。</w:t>
      </w:r>
    </w:p>
    <w:p>
      <w:pPr>
        <w:spacing w:line="360" w:lineRule="auto"/>
        <w:rPr>
          <w:rFonts w:ascii="宋体" w:hAnsi="宋体" w:cs="宋体"/>
          <w:b/>
          <w:sz w:val="24"/>
        </w:rPr>
      </w:pPr>
      <w:r>
        <w:rPr>
          <w:rFonts w:hint="eastAsia" w:ascii="宋体" w:hAnsi="宋体" w:cs="宋体"/>
          <w:b/>
          <w:sz w:val="24"/>
        </w:rPr>
        <w:t>三、谈判评审原则与方法</w:t>
      </w:r>
    </w:p>
    <w:p>
      <w:pPr>
        <w:spacing w:line="360" w:lineRule="auto"/>
        <w:ind w:firstLine="480" w:firstLineChars="200"/>
        <w:rPr>
          <w:rFonts w:ascii="宋体" w:hAnsi="宋体"/>
          <w:sz w:val="24"/>
        </w:rPr>
      </w:pPr>
      <w:r>
        <w:rPr>
          <w:rFonts w:hint="eastAsia" w:ascii="宋体" w:hAnsi="宋体"/>
          <w:sz w:val="24"/>
        </w:rPr>
        <w:t>1、依照《中华人民共和国政府采购法》、《中华人民共和国政府采购法实施条例》、《政府采购货物和服务招投标管理办法》、《政府采购非招标采购方式管理办法》（财政部第74号令）、《浙江省财政厅关于印发浙江省政府采购项目电子交易管理暂行办法的通知》以及政府采购的特殊性确定谈判方法，并遵循公开、公平、公正的原则，谈判小组对谈判响应方提供的技术性能、售后服务、资信情况、履约能力等进行综合分析考评。</w:t>
      </w:r>
    </w:p>
    <w:p>
      <w:pPr>
        <w:spacing w:line="360" w:lineRule="auto"/>
        <w:rPr>
          <w:rFonts w:ascii="宋体" w:hAnsi="宋体"/>
          <w:sz w:val="24"/>
        </w:rPr>
      </w:pPr>
      <w:r>
        <w:rPr>
          <w:rFonts w:hint="eastAsia" w:ascii="宋体" w:hAnsi="宋体"/>
          <w:sz w:val="24"/>
        </w:rPr>
        <w:t xml:space="preserve">    2、客观公正的对待所有谈判响应方，对所有谈判评价，均采用相同的程序和标准。在谈判期间，谈判响应方不得向谈判小组成员询问谈判情况，不得进行旨在影响谈判结果的活动。否则将废除其参加谈判资格。</w:t>
      </w:r>
    </w:p>
    <w:p>
      <w:pPr>
        <w:spacing w:line="360" w:lineRule="auto"/>
        <w:ind w:firstLine="480" w:firstLineChars="200"/>
        <w:rPr>
          <w:rFonts w:ascii="宋体" w:hAnsi="宋体"/>
          <w:sz w:val="24"/>
        </w:rPr>
      </w:pPr>
      <w:r>
        <w:rPr>
          <w:rFonts w:hint="eastAsia" w:ascii="宋体" w:hAnsi="宋体"/>
          <w:sz w:val="24"/>
        </w:rPr>
        <w:t>3、在谈判过程中，谈判小组成员不得与谈判响应方私下交换意见，在谈判工作结束后，凡与谈判情况有接触的任何人不得将谈判情况扩散出谈判小组成员之外。</w:t>
      </w:r>
    </w:p>
    <w:p>
      <w:pPr>
        <w:spacing w:line="360" w:lineRule="auto"/>
        <w:ind w:firstLine="480" w:firstLineChars="200"/>
        <w:rPr>
          <w:rFonts w:ascii="宋体" w:hAnsi="宋体"/>
          <w:sz w:val="24"/>
        </w:rPr>
      </w:pPr>
      <w:r>
        <w:rPr>
          <w:rFonts w:hint="eastAsia" w:ascii="宋体" w:hAnsi="宋体"/>
          <w:sz w:val="24"/>
        </w:rPr>
        <w:t>4、谈判小组不向落标方解释落标原因，不退还谈判响应文件。</w:t>
      </w:r>
    </w:p>
    <w:p>
      <w:pPr>
        <w:spacing w:line="360" w:lineRule="auto"/>
        <w:ind w:firstLine="480" w:firstLineChars="200"/>
        <w:rPr>
          <w:rFonts w:ascii="宋体" w:hAnsi="宋体"/>
          <w:sz w:val="24"/>
        </w:rPr>
      </w:pPr>
      <w:r>
        <w:rPr>
          <w:rFonts w:hint="eastAsia" w:ascii="宋体" w:hAnsi="宋体"/>
          <w:sz w:val="24"/>
        </w:rPr>
        <w:t>5、审查谈判响应文件时，资信商务、技术按未做出实质性响应处理，作无效标处理；</w:t>
      </w:r>
    </w:p>
    <w:p>
      <w:pPr>
        <w:spacing w:line="360" w:lineRule="auto"/>
        <w:ind w:firstLine="480" w:firstLineChars="200"/>
        <w:rPr>
          <w:rFonts w:ascii="宋体" w:hAnsi="宋体"/>
          <w:b/>
          <w:i/>
          <w:sz w:val="24"/>
        </w:rPr>
      </w:pPr>
      <w:r>
        <w:rPr>
          <w:rFonts w:hint="eastAsia" w:ascii="宋体" w:hAnsi="宋体"/>
          <w:sz w:val="24"/>
        </w:rPr>
        <w:t>6、本次谈判经谈判小组审核后，资信商务、技术实质性响应的响应方进入谈判</w:t>
      </w:r>
      <w:r>
        <w:rPr>
          <w:rFonts w:hint="eastAsia" w:ascii="宋体" w:hAnsi="宋体"/>
          <w:bCs/>
          <w:sz w:val="24"/>
        </w:rPr>
        <w:t>程序，进行报价部分的谈判。</w:t>
      </w:r>
    </w:p>
    <w:p>
      <w:pPr>
        <w:spacing w:line="360" w:lineRule="auto"/>
        <w:ind w:firstLine="482" w:firstLineChars="200"/>
        <w:rPr>
          <w:rFonts w:ascii="宋体" w:hAnsi="宋体"/>
          <w:b/>
          <w:bCs/>
          <w:sz w:val="24"/>
        </w:rPr>
      </w:pPr>
      <w:r>
        <w:rPr>
          <w:rFonts w:hint="eastAsia" w:ascii="宋体" w:hAnsi="宋体"/>
          <w:b/>
          <w:bCs/>
          <w:sz w:val="24"/>
        </w:rPr>
        <w:t>7、进行谈判，最后一次报价时所有谈判响应方同时提供最终报价，评判价格以最后一次有效报价为准</w:t>
      </w:r>
      <w:r>
        <w:rPr>
          <w:rFonts w:ascii="宋体" w:hAnsi="宋体"/>
          <w:b/>
          <w:bCs/>
          <w:sz w:val="24"/>
        </w:rPr>
        <w:t>，</w:t>
      </w:r>
      <w:r>
        <w:rPr>
          <w:rFonts w:hint="eastAsia" w:ascii="宋体" w:hAnsi="宋体"/>
          <w:b/>
          <w:bCs/>
          <w:sz w:val="24"/>
        </w:rPr>
        <w:t>报价</w:t>
      </w:r>
      <w:r>
        <w:rPr>
          <w:rFonts w:ascii="宋体" w:hAnsi="宋体"/>
          <w:b/>
          <w:bCs/>
          <w:sz w:val="24"/>
        </w:rPr>
        <w:t>不少于</w:t>
      </w:r>
      <w:r>
        <w:rPr>
          <w:rFonts w:hint="eastAsia" w:ascii="宋体" w:hAnsi="宋体"/>
          <w:b/>
          <w:bCs/>
          <w:sz w:val="24"/>
        </w:rPr>
        <w:t>两轮。</w:t>
      </w:r>
    </w:p>
    <w:p>
      <w:pPr>
        <w:spacing w:line="360" w:lineRule="auto"/>
        <w:ind w:firstLine="480" w:firstLineChars="200"/>
        <w:rPr>
          <w:rFonts w:ascii="宋体" w:hAnsi="宋体" w:cs="宋体"/>
          <w:b/>
          <w:sz w:val="24"/>
        </w:rPr>
      </w:pPr>
      <w:r>
        <w:rPr>
          <w:rFonts w:hint="eastAsia" w:ascii="宋体" w:hAnsi="宋体"/>
          <w:bCs/>
          <w:sz w:val="24"/>
        </w:rPr>
        <w:t>8、谈判小组根据谈判响应方的最终有效报价，确定最低有效报价者为中标候选单位。</w:t>
      </w:r>
    </w:p>
    <w:p>
      <w:pPr>
        <w:numPr>
          <w:ilvl w:val="0"/>
          <w:numId w:val="6"/>
        </w:numPr>
        <w:spacing w:line="360" w:lineRule="auto"/>
        <w:rPr>
          <w:rFonts w:ascii="宋体" w:hAnsi="宋体" w:cs="宋体"/>
          <w:b/>
          <w:sz w:val="24"/>
        </w:rPr>
      </w:pPr>
      <w:r>
        <w:rPr>
          <w:rFonts w:hint="eastAsia" w:ascii="宋体" w:hAnsi="宋体" w:cs="宋体"/>
          <w:b/>
          <w:sz w:val="24"/>
        </w:rPr>
        <w:t>谈判程序</w:t>
      </w:r>
    </w:p>
    <w:p>
      <w:pPr>
        <w:spacing w:line="360" w:lineRule="auto"/>
        <w:ind w:firstLine="480" w:firstLineChars="200"/>
        <w:rPr>
          <w:rFonts w:ascii="宋体" w:hAnsi="宋体" w:cs="宋体"/>
          <w:bCs/>
          <w:sz w:val="24"/>
        </w:rPr>
      </w:pPr>
      <w:r>
        <w:rPr>
          <w:rFonts w:hint="eastAsia" w:ascii="宋体" w:hAnsi="宋体" w:cs="宋体"/>
          <w:bCs/>
          <w:sz w:val="24"/>
        </w:rPr>
        <w:t>1.开标会由招标代理机构主持，主持人宣布谈判开始；</w:t>
      </w:r>
    </w:p>
    <w:p>
      <w:pPr>
        <w:spacing w:line="360" w:lineRule="auto"/>
        <w:ind w:firstLine="480" w:firstLineChars="200"/>
        <w:rPr>
          <w:rFonts w:ascii="宋体" w:hAnsi="宋体" w:cs="宋体"/>
          <w:bCs/>
          <w:sz w:val="24"/>
        </w:rPr>
      </w:pPr>
      <w:r>
        <w:rPr>
          <w:rFonts w:hint="eastAsia" w:ascii="宋体" w:hAnsi="宋体" w:cs="宋体"/>
          <w:bCs/>
          <w:sz w:val="24"/>
        </w:rPr>
        <w:t xml:space="preserve">2.主持人介绍参加开评标的人员名单； </w:t>
      </w:r>
    </w:p>
    <w:p>
      <w:pPr>
        <w:spacing w:line="360" w:lineRule="auto"/>
        <w:ind w:firstLine="480" w:firstLineChars="200"/>
      </w:pPr>
      <w:r>
        <w:rPr>
          <w:rFonts w:hint="eastAsia" w:ascii="宋体" w:hAnsi="宋体" w:cs="宋体"/>
          <w:bCs/>
          <w:sz w:val="24"/>
        </w:rPr>
        <w:t>3.主持人宣布评标会议纪律及评标期间的有关事项；告知应当回避的情形,提请有关人员回避；</w:t>
      </w:r>
    </w:p>
    <w:p>
      <w:pPr>
        <w:spacing w:line="360" w:lineRule="auto"/>
        <w:ind w:firstLine="480" w:firstLineChars="200"/>
        <w:rPr>
          <w:rFonts w:ascii="宋体"/>
          <w:sz w:val="24"/>
        </w:rPr>
      </w:pPr>
      <w:r>
        <w:rPr>
          <w:rFonts w:hint="eastAsia" w:ascii="宋体"/>
          <w:sz w:val="24"/>
        </w:rPr>
        <w:t>4.谈判及评审程序</w:t>
      </w:r>
    </w:p>
    <w:p>
      <w:pPr>
        <w:spacing w:line="360" w:lineRule="auto"/>
        <w:ind w:firstLine="480" w:firstLineChars="200"/>
        <w:rPr>
          <w:rFonts w:ascii="宋体" w:hAnsi="宋体" w:cs="宋体"/>
          <w:sz w:val="24"/>
        </w:rPr>
      </w:pPr>
      <w:r>
        <w:rPr>
          <w:rFonts w:hint="eastAsia" w:ascii="宋体" w:hAnsi="宋体" w:cs="宋体"/>
          <w:sz w:val="24"/>
        </w:rPr>
        <w:t>4.1由采购人或代理机构进行资格审查；</w:t>
      </w:r>
    </w:p>
    <w:p>
      <w:pPr>
        <w:spacing w:line="360" w:lineRule="auto"/>
        <w:ind w:left="479" w:leftChars="228"/>
        <w:rPr>
          <w:rFonts w:ascii="宋体"/>
          <w:sz w:val="24"/>
        </w:rPr>
      </w:pPr>
      <w:r>
        <w:rPr>
          <w:rFonts w:hint="eastAsia" w:ascii="宋体" w:hAnsi="宋体" w:cs="宋体"/>
          <w:sz w:val="24"/>
        </w:rPr>
        <w:t>4.2</w:t>
      </w:r>
      <w:r>
        <w:rPr>
          <w:rFonts w:hint="eastAsia" w:ascii="宋体"/>
          <w:sz w:val="24"/>
        </w:rPr>
        <w:t>谈判小组审核谈判文件。</w:t>
      </w:r>
    </w:p>
    <w:p>
      <w:pPr>
        <w:spacing w:line="360" w:lineRule="auto"/>
        <w:ind w:firstLine="480" w:firstLineChars="200"/>
        <w:rPr>
          <w:rFonts w:ascii="宋体"/>
          <w:sz w:val="24"/>
        </w:rPr>
      </w:pPr>
      <w:r>
        <w:rPr>
          <w:rFonts w:hint="eastAsia" w:ascii="宋体"/>
          <w:sz w:val="24"/>
        </w:rPr>
        <w:t>（1）谈判响应方所提供的服务是否满足采购要求；</w:t>
      </w:r>
    </w:p>
    <w:p>
      <w:pPr>
        <w:spacing w:line="360" w:lineRule="auto"/>
        <w:ind w:firstLine="480" w:firstLineChars="200"/>
        <w:rPr>
          <w:rFonts w:ascii="宋体"/>
          <w:sz w:val="24"/>
        </w:rPr>
      </w:pPr>
      <w:r>
        <w:rPr>
          <w:rFonts w:hint="eastAsia" w:ascii="宋体"/>
          <w:sz w:val="24"/>
        </w:rPr>
        <w:t>（2）资信情况、履约能力；</w:t>
      </w:r>
    </w:p>
    <w:p>
      <w:pPr>
        <w:pStyle w:val="19"/>
        <w:spacing w:line="360" w:lineRule="auto"/>
        <w:ind w:firstLine="480" w:firstLineChars="200"/>
      </w:pPr>
      <w:r>
        <w:rPr>
          <w:rFonts w:hint="eastAsia" w:ascii="宋体"/>
          <w:sz w:val="24"/>
        </w:rPr>
        <w:t>（3）谈判文件规定的其他相关要求。</w:t>
      </w:r>
    </w:p>
    <w:p>
      <w:pPr>
        <w:spacing w:line="360" w:lineRule="auto"/>
        <w:ind w:firstLine="480" w:firstLineChars="200"/>
        <w:rPr>
          <w:rFonts w:ascii="宋体"/>
          <w:sz w:val="24"/>
        </w:rPr>
      </w:pPr>
      <w:r>
        <w:rPr>
          <w:rFonts w:hint="eastAsia" w:ascii="宋体"/>
          <w:sz w:val="24"/>
        </w:rPr>
        <w:t>4.3依据谈判文件的规定，从谈判响应文件的有效性、完整性和对谈判文件的响应程度进行审查，以确定是否对谈判文件的实质性要求做出响应。</w:t>
      </w:r>
    </w:p>
    <w:p>
      <w:pPr>
        <w:spacing w:line="360" w:lineRule="auto"/>
        <w:ind w:firstLine="480" w:firstLineChars="200"/>
        <w:rPr>
          <w:rFonts w:ascii="宋体" w:hAnsi="宋体" w:cs="宋体"/>
          <w:kern w:val="0"/>
          <w:sz w:val="24"/>
        </w:rPr>
      </w:pPr>
      <w:r>
        <w:rPr>
          <w:rFonts w:hint="eastAsia" w:ascii="宋体" w:hAnsi="宋体" w:cs="宋体"/>
          <w:kern w:val="0"/>
          <w:sz w:val="24"/>
        </w:rPr>
        <w:t>4.4 谈判小组汇总并讨论审核情况，根据技术参考内容，确定商务资信、技术通过符合性审查的谈判响应方。</w:t>
      </w:r>
    </w:p>
    <w:p>
      <w:pPr>
        <w:pStyle w:val="19"/>
        <w:ind w:firstLine="240"/>
      </w:pPr>
      <w:r>
        <w:rPr>
          <w:rFonts w:hint="eastAsia" w:ascii="宋体" w:hAnsi="宋体" w:cs="宋体"/>
          <w:kern w:val="0"/>
          <w:sz w:val="24"/>
        </w:rPr>
        <w:t xml:space="preserve">  4.5开启报价文件</w:t>
      </w:r>
    </w:p>
    <w:p>
      <w:pPr>
        <w:spacing w:line="360" w:lineRule="auto"/>
        <w:ind w:firstLine="480" w:firstLineChars="200"/>
        <w:rPr>
          <w:rFonts w:ascii="宋体" w:hAnsi="宋体" w:cs="宋体"/>
          <w:kern w:val="0"/>
          <w:sz w:val="27"/>
          <w:szCs w:val="27"/>
        </w:rPr>
      </w:pPr>
      <w:r>
        <w:rPr>
          <w:rFonts w:hint="eastAsia" w:ascii="宋体" w:hAnsi="宋体" w:cs="宋体"/>
          <w:kern w:val="0"/>
          <w:sz w:val="24"/>
        </w:rPr>
        <w:t>4.6谈判小组与商务资信、技术通过审查的谈判响应方进行报价商谈。</w:t>
      </w:r>
    </w:p>
    <w:p>
      <w:pPr>
        <w:spacing w:line="360" w:lineRule="auto"/>
        <w:ind w:firstLine="480" w:firstLineChars="200"/>
        <w:rPr>
          <w:rFonts w:ascii="宋体"/>
          <w:sz w:val="24"/>
        </w:rPr>
      </w:pPr>
      <w:r>
        <w:rPr>
          <w:rFonts w:hint="eastAsia" w:ascii="宋体"/>
          <w:sz w:val="24"/>
        </w:rPr>
        <w:t>（1）专家们就讨论和汇总的情况与供应商展开谈判；</w:t>
      </w:r>
    </w:p>
    <w:p>
      <w:pPr>
        <w:spacing w:line="360" w:lineRule="auto"/>
        <w:ind w:firstLine="480" w:firstLineChars="200"/>
        <w:rPr>
          <w:rFonts w:ascii="宋体"/>
          <w:sz w:val="24"/>
        </w:rPr>
      </w:pPr>
      <w:r>
        <w:rPr>
          <w:rFonts w:hint="eastAsia" w:ascii="宋体"/>
          <w:sz w:val="24"/>
        </w:rPr>
        <w:t>（2）供应商承诺并确认成果的商务要求，在政采云系统上进行最终报价。</w:t>
      </w:r>
    </w:p>
    <w:p>
      <w:pPr>
        <w:spacing w:line="360" w:lineRule="auto"/>
        <w:ind w:firstLine="480" w:firstLineChars="200"/>
        <w:rPr>
          <w:rFonts w:ascii="宋体"/>
          <w:sz w:val="24"/>
        </w:rPr>
      </w:pPr>
      <w:r>
        <w:rPr>
          <w:rFonts w:hint="eastAsia" w:ascii="宋体"/>
          <w:sz w:val="24"/>
        </w:rPr>
        <w:t>4.7谈判小组按谈判原则和方法推荐中标候选人并起草评审报告。</w:t>
      </w:r>
    </w:p>
    <w:p>
      <w:pPr>
        <w:spacing w:line="360" w:lineRule="auto"/>
        <w:ind w:firstLine="482" w:firstLineChars="200"/>
        <w:rPr>
          <w:rFonts w:ascii="宋体" w:hAnsi="宋体" w:cs="宋体"/>
          <w:b/>
          <w:sz w:val="24"/>
        </w:rPr>
      </w:pPr>
      <w:r>
        <w:rPr>
          <w:rFonts w:hint="eastAsia" w:ascii="宋体" w:hAnsi="宋体" w:cs="宋体"/>
          <w:b/>
          <w:sz w:val="24"/>
        </w:rPr>
        <w:t>五、中标通知</w:t>
      </w:r>
    </w:p>
    <w:p>
      <w:pPr>
        <w:spacing w:line="360" w:lineRule="auto"/>
        <w:ind w:firstLine="360" w:firstLineChars="150"/>
        <w:rPr>
          <w:rFonts w:ascii="宋体" w:hAnsi="宋体" w:cs="宋体"/>
          <w:sz w:val="24"/>
        </w:rPr>
      </w:pPr>
      <w:r>
        <w:rPr>
          <w:rFonts w:hint="eastAsia" w:ascii="宋体" w:hAnsi="宋体" w:cs="宋体"/>
          <w:sz w:val="24"/>
        </w:rPr>
        <w:t>（一）中标公告期限为1个工作日。谈判方以书面形式发出《中标通知书》，并同时在相关网站上公布成交结果。</w:t>
      </w:r>
    </w:p>
    <w:p>
      <w:pPr>
        <w:spacing w:line="360" w:lineRule="auto"/>
        <w:ind w:firstLine="360" w:firstLineChars="150"/>
        <w:rPr>
          <w:rFonts w:ascii="宋体" w:hAnsi="宋体" w:cs="宋体"/>
          <w:sz w:val="24"/>
        </w:rPr>
      </w:pPr>
      <w:r>
        <w:rPr>
          <w:rFonts w:hint="eastAsia" w:ascii="宋体" w:hAnsi="宋体" w:cs="宋体"/>
          <w:sz w:val="24"/>
        </w:rPr>
        <w:t>（二）确定中标人后，中标人应在三个工作日内，向谈判方领取《中标通知书》，否则按放弃中标资格处理，并因违反诚信原则，提交财政部门列入政府采购黑名单。</w:t>
      </w:r>
    </w:p>
    <w:p>
      <w:pPr>
        <w:spacing w:line="360" w:lineRule="auto"/>
        <w:ind w:firstLine="360" w:firstLineChars="150"/>
        <w:rPr>
          <w:rFonts w:ascii="宋体" w:hAnsi="宋体" w:cs="宋体"/>
          <w:sz w:val="24"/>
        </w:rPr>
      </w:pPr>
      <w:r>
        <w:rPr>
          <w:rFonts w:hint="eastAsia" w:ascii="宋体" w:hAnsi="宋体" w:cs="宋体"/>
          <w:sz w:val="24"/>
        </w:rPr>
        <w:t>（三）中标通知书发出后，若中标人放弃成交，应当承担相应的法律责任，中标通知书对采购人和中标谈判响应方具有同等法律效力。</w:t>
      </w:r>
    </w:p>
    <w:p>
      <w:pPr>
        <w:spacing w:line="360" w:lineRule="auto"/>
        <w:ind w:firstLine="482" w:firstLineChars="200"/>
        <w:rPr>
          <w:rFonts w:ascii="宋体" w:hAnsi="宋体" w:cs="宋体"/>
          <w:b/>
          <w:sz w:val="24"/>
        </w:rPr>
      </w:pPr>
      <w:r>
        <w:rPr>
          <w:rFonts w:hint="eastAsia" w:ascii="宋体" w:hAnsi="宋体" w:cs="宋体"/>
          <w:b/>
          <w:sz w:val="24"/>
        </w:rPr>
        <w:t>六、合同签订</w:t>
      </w:r>
    </w:p>
    <w:p>
      <w:pPr>
        <w:spacing w:line="360" w:lineRule="auto"/>
        <w:ind w:firstLine="480" w:firstLineChars="200"/>
        <w:rPr>
          <w:rFonts w:ascii="宋体" w:hAnsi="宋体" w:cs="宋体"/>
          <w:sz w:val="24"/>
        </w:rPr>
      </w:pPr>
      <w:r>
        <w:rPr>
          <w:rFonts w:hint="eastAsia" w:ascii="宋体" w:hAnsi="宋体" w:cs="宋体"/>
          <w:sz w:val="24"/>
        </w:rPr>
        <w:t>采购人与中标人应当在《中标通知书》发出之日起30日内签订采购合同，如中标人拖延、拒签合同，在30日内未完成合同签订的，按自动放弃中标处理，并承担相应的法律责任，中标通知书对采购人和中标单位具有同等法律效力。</w:t>
      </w:r>
    </w:p>
    <w:p>
      <w:pPr>
        <w:spacing w:line="360" w:lineRule="auto"/>
        <w:ind w:firstLine="480"/>
        <w:rPr>
          <w:rFonts w:cs="宋体"/>
          <w:bCs/>
          <w:color w:val="000000" w:themeColor="text1"/>
          <w:sz w:val="24"/>
          <w14:textFill>
            <w14:solidFill>
              <w14:schemeClr w14:val="tx1"/>
            </w14:solidFill>
          </w14:textFill>
        </w:rPr>
      </w:pPr>
      <w:r>
        <w:rPr>
          <w:color w:val="000000" w:themeColor="text1"/>
          <w14:textFill>
            <w14:solidFill>
              <w14:schemeClr w14:val="tx1"/>
            </w14:solidFill>
          </w14:textFill>
        </w:rPr>
        <w:br w:type="page"/>
      </w:r>
    </w:p>
    <w:p>
      <w:pPr>
        <w:snapToGrid w:val="0"/>
        <w:spacing w:line="360" w:lineRule="auto"/>
        <w:jc w:val="center"/>
        <w:outlineLvl w:val="0"/>
        <w:rPr>
          <w:rFonts w:ascii="宋体" w:hAnsi="宋体" w:cs="宋体"/>
          <w:b/>
          <w:bCs/>
          <w:color w:val="000000" w:themeColor="text1"/>
          <w:sz w:val="32"/>
          <w:szCs w:val="32"/>
          <w14:textFill>
            <w14:solidFill>
              <w14:schemeClr w14:val="tx1"/>
            </w14:solidFill>
          </w14:textFill>
        </w:rPr>
      </w:pPr>
      <w:bookmarkStart w:id="8" w:name="_Toc18309"/>
    </w:p>
    <w:p>
      <w:pPr>
        <w:snapToGrid w:val="0"/>
        <w:spacing w:line="360" w:lineRule="auto"/>
        <w:jc w:val="center"/>
        <w:outlineLvl w:val="0"/>
        <w:rPr>
          <w:rFonts w:ascii="宋体" w:hAnsi="宋体" w:cs="宋体"/>
          <w:b/>
          <w:bCs/>
          <w:color w:val="000000" w:themeColor="text1"/>
          <w:sz w:val="32"/>
          <w:szCs w:val="32"/>
          <w14:textFill>
            <w14:solidFill>
              <w14:schemeClr w14:val="tx1"/>
            </w14:solidFill>
          </w14:textFill>
        </w:rPr>
      </w:pPr>
      <w:r>
        <w:rPr>
          <w:rFonts w:ascii="宋体" w:hAnsi="宋体" w:cs="宋体"/>
          <w:b/>
          <w:bCs/>
          <w:color w:val="000000" w:themeColor="text1"/>
          <w:sz w:val="32"/>
          <w:szCs w:val="32"/>
          <w14:textFill>
            <w14:solidFill>
              <w14:schemeClr w14:val="tx1"/>
            </w14:solidFill>
          </w14:textFill>
        </w:rPr>
        <w:t>第</w:t>
      </w:r>
      <w:r>
        <w:rPr>
          <w:rFonts w:hint="eastAsia" w:ascii="宋体" w:hAnsi="宋体" w:cs="宋体"/>
          <w:b/>
          <w:bCs/>
          <w:color w:val="000000" w:themeColor="text1"/>
          <w:sz w:val="32"/>
          <w:szCs w:val="32"/>
          <w14:textFill>
            <w14:solidFill>
              <w14:schemeClr w14:val="tx1"/>
            </w14:solidFill>
          </w14:textFill>
        </w:rPr>
        <w:t>六</w:t>
      </w:r>
      <w:r>
        <w:rPr>
          <w:rFonts w:ascii="宋体" w:hAnsi="宋体" w:cs="宋体"/>
          <w:b/>
          <w:bCs/>
          <w:color w:val="000000" w:themeColor="text1"/>
          <w:sz w:val="32"/>
          <w:szCs w:val="32"/>
          <w14:textFill>
            <w14:solidFill>
              <w14:schemeClr w14:val="tx1"/>
            </w14:solidFill>
          </w14:textFill>
        </w:rPr>
        <w:t>章  采购合同主要条款</w:t>
      </w:r>
      <w:bookmarkEnd w:id="8"/>
    </w:p>
    <w:p>
      <w:pPr>
        <w:pStyle w:val="5"/>
        <w:keepNext w:val="0"/>
        <w:keepLines w:val="0"/>
        <w:spacing w:before="0" w:after="0" w:line="440" w:lineRule="exact"/>
        <w:jc w:val="center"/>
        <w:rPr>
          <w:rFonts w:ascii="宋体" w:hAnsi="宋体" w:cs="宋体"/>
          <w:bCs w:val="0"/>
          <w:color w:val="000000" w:themeColor="text1"/>
          <w:sz w:val="30"/>
          <w:szCs w:val="20"/>
          <w14:textFill>
            <w14:solidFill>
              <w14:schemeClr w14:val="tx1"/>
            </w14:solidFill>
          </w14:textFill>
        </w:rPr>
      </w:pPr>
      <w:bookmarkStart w:id="9" w:name="_Toc4485"/>
      <w:r>
        <w:rPr>
          <w:rFonts w:ascii="宋体" w:hAnsi="宋体" w:cs="宋体"/>
          <w:color w:val="000000" w:themeColor="text1"/>
          <w:sz w:val="30"/>
          <w14:textFill>
            <w14:solidFill>
              <w14:schemeClr w14:val="tx1"/>
            </w14:solidFill>
          </w14:textFill>
        </w:rPr>
        <w:t>采购合同（样本）</w:t>
      </w:r>
      <w:bookmarkEnd w:id="9"/>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项目名称：                   项目编号：               合同号：</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甲方（买方）：</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乙方（卖方）：</w:t>
      </w:r>
    </w:p>
    <w:p>
      <w:pPr>
        <w:snapToGrid w:val="0"/>
        <w:spacing w:before="156" w:after="156" w:line="360" w:lineRule="auto"/>
        <w:ind w:firstLine="480" w:firstLineChars="200"/>
        <w:rPr>
          <w:rFonts w:ascii="宋体" w:hAnsi="宋体" w:cs="宋体"/>
          <w:b/>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甲、乙双方根据    年  月  日</w:t>
      </w:r>
      <w:r>
        <w:rPr>
          <w:rFonts w:hint="eastAsia" w:ascii="宋体" w:hAnsi="宋体" w:cs="宋体"/>
          <w:color w:val="000000" w:themeColor="text1"/>
          <w:sz w:val="24"/>
          <w14:textFill>
            <w14:solidFill>
              <w14:schemeClr w14:val="tx1"/>
            </w14:solidFill>
          </w14:textFill>
        </w:rPr>
        <w:t>浙江广厦建设职业技术大学</w:t>
      </w:r>
      <w:r>
        <w:rPr>
          <w:rFonts w:ascii="宋体" w:hAnsi="宋体" w:cs="宋体"/>
          <w:color w:val="000000" w:themeColor="text1"/>
          <w:sz w:val="24"/>
          <w14:textFill>
            <w14:solidFill>
              <w14:schemeClr w14:val="tx1"/>
            </w14:solidFill>
          </w14:textFill>
        </w:rPr>
        <w:t>关于项目公开招标的结果，签署本合同。</w:t>
      </w:r>
    </w:p>
    <w:p>
      <w:pPr>
        <w:snapToGrid w:val="0"/>
        <w:spacing w:before="156" w:after="156"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一、货物内容</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 货物名称：</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 型号规格：</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 技术参数：</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 数量（单位）：</w:t>
      </w:r>
    </w:p>
    <w:p>
      <w:pPr>
        <w:snapToGrid w:val="0"/>
        <w:spacing w:before="156" w:after="156"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二、合同金额</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本合同金额为（大写）：____________元（￥_______________元）人民币。</w:t>
      </w:r>
    </w:p>
    <w:p>
      <w:pPr>
        <w:snapToGrid w:val="0"/>
        <w:spacing w:before="156" w:after="156"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三、技术资料</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1.乙方应按招标文件规定的时间向甲方提供使用货物的有关技术资料。</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 没有甲方事先书面同意，乙方不得将由甲方提供的有关合同或任何合同条文、规</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格、计划、图纸、样品或资料提供给与履行本合同无关的任何其他人。即使向履行本</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合同有关的人员提供，也应注意保密并限于履行合同的必需范围。</w:t>
      </w:r>
    </w:p>
    <w:p>
      <w:pPr>
        <w:snapToGrid w:val="0"/>
        <w:spacing w:before="156" w:after="156" w:line="360" w:lineRule="auto"/>
        <w:ind w:left="412" w:hanging="412"/>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四、知识产权</w:t>
      </w:r>
    </w:p>
    <w:p>
      <w:pPr>
        <w:snapToGrid w:val="0"/>
        <w:spacing w:before="156" w:after="156" w:line="360" w:lineRule="auto"/>
        <w:rPr>
          <w:rFonts w:ascii="宋体" w:hAnsi="宋体" w:cs="宋体"/>
          <w:bCs/>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乙方应保证所提供的货物或其任何一部分均不会侵犯任何第三方的知识产权</w:t>
      </w:r>
      <w:r>
        <w:rPr>
          <w:rFonts w:ascii="宋体" w:hAnsi="宋体" w:cs="宋体"/>
          <w:bCs/>
          <w:color w:val="000000" w:themeColor="text1"/>
          <w:sz w:val="24"/>
          <w14:textFill>
            <w14:solidFill>
              <w14:schemeClr w14:val="tx1"/>
            </w14:solidFill>
          </w14:textFill>
        </w:rPr>
        <w:t>。</w:t>
      </w:r>
    </w:p>
    <w:p>
      <w:pPr>
        <w:pStyle w:val="47"/>
        <w:numPr>
          <w:ilvl w:val="0"/>
          <w:numId w:val="7"/>
        </w:numPr>
        <w:snapToGrid w:val="0"/>
        <w:spacing w:before="156" w:after="156" w:line="360" w:lineRule="auto"/>
        <w:ind w:firstLineChars="0"/>
        <w:rPr>
          <w:rFonts w:ascii="宋体" w:hAnsi="宋体" w:cs="宋体"/>
          <w:color w:val="000000" w:themeColor="text1"/>
          <w:sz w:val="24"/>
          <w:u w:val="single"/>
          <w14:textFill>
            <w14:solidFill>
              <w14:schemeClr w14:val="tx1"/>
            </w14:solidFill>
          </w14:textFill>
        </w:rPr>
      </w:pPr>
      <w:r>
        <w:rPr>
          <w:rFonts w:ascii="宋体" w:hAnsi="宋体" w:cs="宋体"/>
          <w:b/>
          <w:color w:val="000000" w:themeColor="text1"/>
          <w:sz w:val="24"/>
          <w14:textFill>
            <w14:solidFill>
              <w14:schemeClr w14:val="tx1"/>
            </w14:solidFill>
          </w14:textFill>
        </w:rPr>
        <w:t>产权担保</w:t>
      </w:r>
    </w:p>
    <w:p>
      <w:pPr>
        <w:snapToGrid w:val="0"/>
        <w:spacing w:before="156" w:after="156" w:line="360" w:lineRule="auto"/>
        <w:ind w:left="408" w:hanging="408"/>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乙方保证所交付的货物的所有权完全属于乙方且无任何抵押、查封等产权瑕疵。</w:t>
      </w:r>
    </w:p>
    <w:p>
      <w:pPr>
        <w:pStyle w:val="47"/>
        <w:numPr>
          <w:ilvl w:val="0"/>
          <w:numId w:val="7"/>
        </w:numPr>
        <w:snapToGrid w:val="0"/>
        <w:spacing w:before="156" w:after="156" w:line="360" w:lineRule="auto"/>
        <w:ind w:firstLineChars="0"/>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履约保证金</w:t>
      </w:r>
    </w:p>
    <w:p>
      <w:pPr>
        <w:snapToGrid w:val="0"/>
        <w:spacing w:before="156" w:after="156" w:line="360" w:lineRule="auto"/>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履约保证金为合同价款的</w:t>
      </w:r>
      <w:r>
        <w:rPr>
          <w:rFonts w:hint="eastAsia" w:ascii="宋体" w:hAnsi="宋体" w:cs="宋体"/>
          <w:color w:val="000000" w:themeColor="text1"/>
          <w:sz w:val="24"/>
          <w14:textFill>
            <w14:solidFill>
              <w14:schemeClr w14:val="tx1"/>
            </w14:solidFill>
          </w14:textFill>
        </w:rPr>
        <w:t>5</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在合同签订前汇入甲方指定账户，于</w:t>
      </w:r>
      <w:r>
        <w:rPr>
          <w:rFonts w:ascii="宋体" w:hAnsi="宋体" w:cs="宋体"/>
          <w:color w:val="000000" w:themeColor="text1"/>
          <w:sz w:val="24"/>
          <w14:textFill>
            <w14:solidFill>
              <w14:schemeClr w14:val="tx1"/>
            </w14:solidFill>
          </w14:textFill>
        </w:rPr>
        <w:t>项目完成且验收合格（由采购人出具验收合格报告，要求原件）之日起15个工作日内退还。</w:t>
      </w:r>
    </w:p>
    <w:p>
      <w:pPr>
        <w:snapToGrid w:val="0"/>
        <w:spacing w:before="156" w:after="156" w:line="360" w:lineRule="auto"/>
        <w:ind w:left="410" w:hanging="410"/>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七、转包或分包</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1.本合同范围的货物，应由乙方直接供应，不得转让他人供应；</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2.除非得到甲方的书面同意，乙方不得将本合同范围的货物全部或部分分包给他人供应；</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3.如有转让和未经甲方同意的分包行为，甲方有权解除合同，没收履约保证金并追究乙方的违约责任。</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八、质保期和质保金</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质保期</w:t>
      </w:r>
      <w:r>
        <w:rPr>
          <w:rFonts w:ascii="宋体" w:hAnsi="宋体" w:cs="宋体"/>
          <w:color w:val="000000" w:themeColor="text1"/>
          <w:sz w:val="24"/>
          <w:u w:val="single"/>
          <w14:textFill>
            <w14:solidFill>
              <w14:schemeClr w14:val="tx1"/>
            </w14:solidFill>
          </w14:textFill>
        </w:rPr>
        <w:t xml:space="preserve">   1  </w:t>
      </w:r>
      <w:r>
        <w:rPr>
          <w:rFonts w:ascii="宋体" w:hAnsi="宋体" w:cs="宋体"/>
          <w:color w:val="000000" w:themeColor="text1"/>
          <w:sz w:val="24"/>
          <w14:textFill>
            <w14:solidFill>
              <w14:schemeClr w14:val="tx1"/>
            </w14:solidFill>
          </w14:textFill>
        </w:rPr>
        <w:t>年。（自交货验收合格之日起计）</w:t>
      </w:r>
    </w:p>
    <w:p>
      <w:pPr>
        <w:snapToGrid w:val="0"/>
        <w:spacing w:before="156" w:after="156"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九、交货期、交货地点</w:t>
      </w:r>
    </w:p>
    <w:p>
      <w:pPr>
        <w:snapToGrid w:val="0"/>
        <w:spacing w:before="156" w:after="156" w:line="360" w:lineRule="auto"/>
        <w:rPr>
          <w:rFonts w:ascii="宋体" w:hAnsi="宋体" w:cs="宋体"/>
          <w:bCs/>
          <w:color w:val="000000" w:themeColor="text1"/>
          <w:sz w:val="24"/>
          <w:u w:val="single"/>
          <w14:textFill>
            <w14:solidFill>
              <w14:schemeClr w14:val="tx1"/>
            </w14:solidFill>
          </w14:textFill>
        </w:rPr>
      </w:pPr>
      <w:r>
        <w:rPr>
          <w:rFonts w:ascii="宋体" w:hAnsi="宋体" w:cs="宋体"/>
          <w:bCs/>
          <w:color w:val="000000" w:themeColor="text1"/>
          <w:sz w:val="24"/>
          <w14:textFill>
            <w14:solidFill>
              <w14:schemeClr w14:val="tx1"/>
            </w14:solidFill>
          </w14:textFill>
        </w:rPr>
        <w:t>1. 交货期：</w:t>
      </w:r>
    </w:p>
    <w:p>
      <w:pPr>
        <w:snapToGrid w:val="0"/>
        <w:spacing w:before="156" w:after="156" w:line="360" w:lineRule="auto"/>
        <w:rPr>
          <w:rFonts w:ascii="宋体" w:hAnsi="宋体" w:cs="宋体"/>
          <w:b/>
          <w:color w:val="000000" w:themeColor="text1"/>
          <w:sz w:val="24"/>
          <w:u w:val="single"/>
          <w14:textFill>
            <w14:solidFill>
              <w14:schemeClr w14:val="tx1"/>
            </w14:solidFill>
          </w14:textFill>
        </w:rPr>
      </w:pPr>
      <w:r>
        <w:rPr>
          <w:rFonts w:ascii="宋体" w:hAnsi="宋体" w:cs="宋体"/>
          <w:bCs/>
          <w:color w:val="000000" w:themeColor="text1"/>
          <w:sz w:val="24"/>
          <w14:textFill>
            <w14:solidFill>
              <w14:schemeClr w14:val="tx1"/>
            </w14:solidFill>
          </w14:textFill>
        </w:rPr>
        <w:t>2.交货地点：</w:t>
      </w:r>
    </w:p>
    <w:p>
      <w:pPr>
        <w:snapToGrid w:val="0"/>
        <w:spacing w:before="156" w:after="156"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十、付款方式</w:t>
      </w:r>
    </w:p>
    <w:p>
      <w:pPr>
        <w:snapToGrid w:val="0"/>
        <w:spacing w:before="156" w:after="156" w:line="360" w:lineRule="auto"/>
        <w:rPr>
          <w:rFonts w:ascii="宋体" w:hAnsi="宋体" w:cs="宋体"/>
          <w:b/>
          <w:color w:val="000000" w:themeColor="text1"/>
          <w:sz w:val="24"/>
          <w:szCs w:val="20"/>
          <w14:textFill>
            <w14:solidFill>
              <w14:schemeClr w14:val="tx1"/>
            </w14:solidFill>
          </w14:textFill>
        </w:rPr>
      </w:pPr>
      <w:r>
        <w:rPr>
          <w:rFonts w:ascii="宋体" w:hAnsi="宋体" w:cs="宋体"/>
          <w:b/>
          <w:color w:val="000000" w:themeColor="text1"/>
          <w:sz w:val="24"/>
          <w14:textFill>
            <w14:solidFill>
              <w14:schemeClr w14:val="tx1"/>
            </w14:solidFill>
          </w14:textFill>
        </w:rPr>
        <w:t>十一、税费</w:t>
      </w:r>
    </w:p>
    <w:p>
      <w:pPr>
        <w:snapToGrid w:val="0"/>
        <w:spacing w:before="156" w:after="156" w:line="360" w:lineRule="auto"/>
        <w:rPr>
          <w:rFonts w:ascii="宋体" w:hAnsi="宋体" w:cs="宋体"/>
          <w:color w:val="000000" w:themeColor="text1"/>
          <w:sz w:val="24"/>
          <w:szCs w:val="20"/>
          <w14:textFill>
            <w14:solidFill>
              <w14:schemeClr w14:val="tx1"/>
            </w14:solidFill>
          </w14:textFill>
        </w:rPr>
      </w:pPr>
      <w:r>
        <w:rPr>
          <w:rFonts w:ascii="宋体" w:hAnsi="宋体" w:cs="宋体"/>
          <w:color w:val="000000" w:themeColor="text1"/>
          <w:sz w:val="24"/>
          <w14:textFill>
            <w14:solidFill>
              <w14:schemeClr w14:val="tx1"/>
            </w14:solidFill>
          </w14:textFill>
        </w:rPr>
        <w:t>本合同执行中相关的一切税费均由乙方负担。</w:t>
      </w:r>
    </w:p>
    <w:p>
      <w:pPr>
        <w:snapToGrid w:val="0"/>
        <w:spacing w:before="156" w:after="156" w:line="360" w:lineRule="auto"/>
        <w:ind w:left="412" w:hanging="412"/>
        <w:rPr>
          <w:rFonts w:ascii="宋体" w:hAnsi="宋体" w:cs="宋体"/>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十二、质量保证及售后服务</w:t>
      </w:r>
    </w:p>
    <w:p>
      <w:pPr>
        <w:tabs>
          <w:tab w:val="left" w:pos="0"/>
        </w:tabs>
        <w:snapToGrid w:val="0"/>
        <w:spacing w:before="156" w:after="156"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ascii="宋体" w:hAnsi="宋体" w:cs="宋体"/>
          <w:color w:val="000000" w:themeColor="text1"/>
          <w:sz w:val="24"/>
          <w14:textFill>
            <w14:solidFill>
              <w14:schemeClr w14:val="tx1"/>
            </w14:solidFill>
          </w14:textFill>
        </w:rPr>
        <w:t>.乙方应按招标文件规定的货物性能、技术要求、质量标准向甲方提供</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未经使用的全新产品。</w:t>
      </w:r>
    </w:p>
    <w:p>
      <w:pPr>
        <w:snapToGrid w:val="0"/>
        <w:spacing w:before="156" w:after="156" w:line="360" w:lineRule="auto"/>
        <w:ind w:left="480" w:hanging="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 乙方提供的货物在质保期内因货物本身的质量问题发生故障，乙方应负责免费更</w:t>
      </w:r>
    </w:p>
    <w:p>
      <w:pPr>
        <w:snapToGrid w:val="0"/>
        <w:spacing w:before="156" w:after="156" w:line="360" w:lineRule="auto"/>
        <w:ind w:left="480" w:hanging="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换。对达不到技术要求者，根据实际情况，经双方协商，可按以下办法处理：</w:t>
      </w:r>
    </w:p>
    <w:p>
      <w:pPr>
        <w:snapToGrid w:val="0"/>
        <w:spacing w:before="156" w:after="156" w:line="360" w:lineRule="auto"/>
        <w:ind w:firstLine="42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⑴更换：由乙方承担所发生的全部费用。</w:t>
      </w:r>
    </w:p>
    <w:p>
      <w:pPr>
        <w:snapToGrid w:val="0"/>
        <w:spacing w:before="156" w:after="156" w:line="360" w:lineRule="auto"/>
        <w:ind w:firstLine="42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⑵贬值处理：由甲乙双方合议定价。</w:t>
      </w:r>
    </w:p>
    <w:p>
      <w:pPr>
        <w:snapToGrid w:val="0"/>
        <w:spacing w:before="120" w:after="120" w:line="360" w:lineRule="auto"/>
        <w:ind w:left="42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⑶退货处理：乙方应退还甲方支付的合同款，同时应承担该货物的直接费用（运输、保险、检验、货款利息及银行手续费等）。</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 如在使用过程中发生质量问题，乙方在接到甲方通知后在小时内到达甲方现场。</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 在质保期内，乙方应对货物出现的质量及安全问题负责处理解决并承担一切费用。</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5.上述的货物免费保修期为</w:t>
      </w:r>
      <w:r>
        <w:rPr>
          <w:rFonts w:ascii="宋体" w:hAnsi="宋体" w:cs="宋体"/>
          <w:color w:val="000000" w:themeColor="text1"/>
          <w:sz w:val="24"/>
          <w:u w:val="single"/>
          <w14:textFill>
            <w14:solidFill>
              <w14:schemeClr w14:val="tx1"/>
            </w14:solidFill>
          </w14:textFill>
        </w:rPr>
        <w:t xml:space="preserve">  3  </w:t>
      </w:r>
      <w:r>
        <w:rPr>
          <w:rFonts w:ascii="宋体" w:hAnsi="宋体" w:cs="宋体"/>
          <w:color w:val="000000" w:themeColor="text1"/>
          <w:sz w:val="24"/>
          <w14:textFill>
            <w14:solidFill>
              <w14:schemeClr w14:val="tx1"/>
            </w14:solidFill>
          </w14:textFill>
        </w:rPr>
        <w:t>年，因人为因素出现的故障不在免费保修范围内。超过保修期的机器货物，终生维修，维修时只收部件成本费。</w:t>
      </w:r>
    </w:p>
    <w:p>
      <w:pPr>
        <w:snapToGrid w:val="0"/>
        <w:spacing w:before="156" w:after="156"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十三、调试和验收</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甲方对乙方提交的货物依据招标文件上的技术规格要求和国家有关质量标准进行现场初步验收，外观、说明书符合招标文件技术要求的，给予签收，初步验收不合格的不予签收。货到后，甲方需在五个工作日内验收。</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 乙方交货前应对产品作出全面检查和对验收文件进行整理，并列出清单，作为甲方收货验收和使用的技术条件依据，检验的结果应随货物交甲方。</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 甲方对乙方提供的货物在使用前进行调试时，乙方需负责安装并培训甲方的使用操作人员，并协助甲方一起调试，直到符合技术要求，甲方才做最终验收。</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 对技术复杂的货物，甲方应请国家认可的专业检测机构参与初步验收及最终验收，并由其出具质量检测报告。</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 验收时乙方必须在现场，验收完毕后作出验收结果报告；验收费用由乙方负责。</w:t>
      </w:r>
    </w:p>
    <w:p>
      <w:pPr>
        <w:snapToGrid w:val="0"/>
        <w:spacing w:before="156" w:after="156"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十四、货物包装、发运及运输</w:t>
      </w:r>
    </w:p>
    <w:p>
      <w:pPr>
        <w:snapToGrid w:val="0"/>
        <w:spacing w:before="156" w:after="156" w:line="360" w:lineRule="auto"/>
        <w:ind w:left="480" w:hanging="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 乙方应在货物发运前对其进行满足运输距离、防潮、防震、防锈和防破损装卸等</w:t>
      </w:r>
      <w:r>
        <w:rPr>
          <w:rFonts w:hint="eastAsia" w:ascii="宋体" w:hAnsi="宋体" w:cs="宋体"/>
          <w:color w:val="000000" w:themeColor="text1"/>
          <w:sz w:val="24"/>
          <w14:textFill>
            <w14:solidFill>
              <w14:schemeClr w14:val="tx1"/>
            </w14:solidFill>
          </w14:textFill>
        </w:rPr>
        <w:t>要</w:t>
      </w:r>
    </w:p>
    <w:p>
      <w:pPr>
        <w:snapToGrid w:val="0"/>
        <w:spacing w:before="156" w:after="156" w:line="360" w:lineRule="auto"/>
        <w:ind w:left="480" w:hanging="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求包装，以保证货物安全运达甲方指定地点。</w:t>
      </w:r>
    </w:p>
    <w:p>
      <w:pPr>
        <w:snapToGrid w:val="0"/>
        <w:spacing w:before="156" w:after="156" w:line="360" w:lineRule="auto"/>
        <w:ind w:left="480" w:hanging="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 使用说明书、质量检验证明书、随配附件和工具以及清单一并附于货物内。</w:t>
      </w:r>
    </w:p>
    <w:p>
      <w:pPr>
        <w:snapToGrid w:val="0"/>
        <w:spacing w:before="156" w:after="156" w:line="360" w:lineRule="auto"/>
        <w:ind w:left="480" w:hanging="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 乙方在货物发运手续办理完毕后24小时内或货到甲方48小时前通知甲方，以准备</w:t>
      </w:r>
    </w:p>
    <w:p>
      <w:pPr>
        <w:snapToGrid w:val="0"/>
        <w:spacing w:before="156" w:after="156" w:line="360" w:lineRule="auto"/>
        <w:ind w:left="480" w:hanging="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接货。</w:t>
      </w:r>
    </w:p>
    <w:p>
      <w:pPr>
        <w:snapToGrid w:val="0"/>
        <w:spacing w:before="156" w:after="156" w:line="360" w:lineRule="auto"/>
        <w:ind w:left="480" w:hanging="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 货物在交付甲方前发生的风险均由乙方负责。</w:t>
      </w:r>
    </w:p>
    <w:p>
      <w:pPr>
        <w:snapToGrid w:val="0"/>
        <w:spacing w:before="156" w:after="156" w:line="360" w:lineRule="auto"/>
        <w:ind w:left="480" w:right="26" w:hanging="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 货物在规定的交付期限内由乙方送达甲方指定的地点视为交付，乙方同时需通知甲</w:t>
      </w:r>
    </w:p>
    <w:p>
      <w:pPr>
        <w:snapToGrid w:val="0"/>
        <w:spacing w:before="156" w:after="156" w:line="360" w:lineRule="auto"/>
        <w:ind w:left="480" w:right="26" w:hanging="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方货物已送达。</w:t>
      </w:r>
    </w:p>
    <w:p>
      <w:pPr>
        <w:snapToGrid w:val="0"/>
        <w:spacing w:before="156" w:after="156"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十五、违约责任</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 甲方无正当理由拒收货物的，甲方向乙方偿付拒收货款总值的百分之五违约金。</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 甲方无故逾期验收和办理货款支付手续的,甲方应按逾期付款总额每日万分之五向</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乙方支付违约金。</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 乙方逾期交付货物的，乙方应按逾期交货总额每日千分之六向甲方支付违约金，由</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甲方从待付货款中扣除。逾期超过约定日期10个工作日不能交货的，甲方可解除本合</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同。乙方因逾期交货或因其他违约行为导致甲方解除合同的，乙方应向甲方支付合同</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总值5%的违约金，如造成甲方损失超过违约金的，超出部分由乙方继续承担赔偿</w:t>
      </w:r>
      <w:r>
        <w:rPr>
          <w:rFonts w:hint="eastAsia" w:ascii="宋体" w:hAnsi="宋体" w:cs="宋体"/>
          <w:color w:val="000000" w:themeColor="text1"/>
          <w:sz w:val="24"/>
          <w14:textFill>
            <w14:solidFill>
              <w14:schemeClr w14:val="tx1"/>
            </w14:solidFill>
          </w14:textFill>
        </w:rPr>
        <w:t>责</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任。 </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 乙方所交的货物品种、型号、规格、技术参数、质量不符合合同规定及招标文件规</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定标准的，甲方有权拒收该货物，乙方愿意更换货物但逾期交货的，按乙方逾期交货</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处理。乙方拒绝更换货物的，甲方可单方面解除合同。</w:t>
      </w:r>
    </w:p>
    <w:p>
      <w:pPr>
        <w:snapToGrid w:val="0"/>
        <w:spacing w:before="156" w:after="156"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十六、不可抗力事件处理</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ascii="宋体" w:hAnsi="宋体" w:cs="宋体"/>
          <w:color w:val="000000" w:themeColor="text1"/>
          <w:sz w:val="24"/>
          <w14:textFill>
            <w14:solidFill>
              <w14:schemeClr w14:val="tx1"/>
            </w14:solidFill>
          </w14:textFill>
        </w:rPr>
        <w:t>.在合同有效期内，任何一方因不可抗力事件导致不能履行合同，则合同履行期可延长，其延长期与不可抗力影响期相同。</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 不可抗力事件发生后，应立即通知对方，并寄送有关权威机构出具的证明。</w:t>
      </w:r>
    </w:p>
    <w:p>
      <w:pPr>
        <w:snapToGrid w:val="0"/>
        <w:spacing w:before="156" w:after="156" w:line="360" w:lineRule="auto"/>
        <w:ind w:left="410" w:hanging="41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 不可抗力事件延续120天以上，双方应通过友好协商，确定是否继续履行合同。</w:t>
      </w:r>
    </w:p>
    <w:p>
      <w:pPr>
        <w:snapToGrid w:val="0"/>
        <w:spacing w:before="156" w:after="156"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十七、诉讼</w:t>
      </w:r>
    </w:p>
    <w:p>
      <w:pPr>
        <w:snapToGrid w:val="0"/>
        <w:spacing w:before="156" w:after="156" w:line="360" w:lineRule="auto"/>
        <w:ind w:left="480" w:hanging="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双方在执行合同中所发生的一切争议，应通过协商解决。如协商不成，可向甲方所</w:t>
      </w:r>
    </w:p>
    <w:p>
      <w:pPr>
        <w:snapToGrid w:val="0"/>
        <w:spacing w:before="156" w:after="156"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在地、法院起诉。</w:t>
      </w:r>
    </w:p>
    <w:p>
      <w:pPr>
        <w:snapToGrid w:val="0"/>
        <w:spacing w:before="120" w:after="120" w:line="360" w:lineRule="auto"/>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十八、合同生效及其它</w:t>
      </w:r>
    </w:p>
    <w:p>
      <w:pPr>
        <w:snapToGrid w:val="0"/>
        <w:spacing w:before="120" w:after="120"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 合同经三方法定代表人或授权代表签字并加盖单位公章后生效。</w:t>
      </w:r>
    </w:p>
    <w:p>
      <w:pPr>
        <w:snapToGrid w:val="0"/>
        <w:spacing w:before="120" w:after="120"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2.合同执行中涉及采购资金和采购内容修改或补充的，签书面补充协议，作为主合同不可分割的一部分。</w:t>
      </w:r>
    </w:p>
    <w:p>
      <w:pPr>
        <w:snapToGrid w:val="0"/>
        <w:spacing w:before="120" w:after="120"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3.本合同未尽事宜，遵照《中华人民共和国民法典》有关条文执行。</w:t>
      </w:r>
    </w:p>
    <w:p>
      <w:pPr>
        <w:spacing w:line="36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4.本合同一式</w:t>
      </w:r>
      <w:r>
        <w:rPr>
          <w:rFonts w:hint="eastAsia" w:ascii="宋体" w:hAnsi="宋体" w:cs="宋体"/>
          <w:color w:val="000000" w:themeColor="text1"/>
          <w:sz w:val="24"/>
          <w14:textFill>
            <w14:solidFill>
              <w14:schemeClr w14:val="tx1"/>
            </w14:solidFill>
          </w14:textFill>
        </w:rPr>
        <w:t>四</w:t>
      </w:r>
      <w:r>
        <w:rPr>
          <w:rFonts w:ascii="宋体" w:hAnsi="宋体" w:cs="宋体"/>
          <w:color w:val="000000" w:themeColor="text1"/>
          <w:sz w:val="24"/>
          <w14:textFill>
            <w14:solidFill>
              <w14:schemeClr w14:val="tx1"/>
            </w14:solidFill>
          </w14:textFill>
        </w:rPr>
        <w:t>份，招</w:t>
      </w:r>
      <w:r>
        <w:rPr>
          <w:rFonts w:hint="eastAsia" w:ascii="宋体" w:hAnsi="宋体" w:cs="宋体"/>
          <w:color w:val="000000" w:themeColor="text1"/>
          <w:sz w:val="24"/>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甲、乙双方各执二份，其都具有同等法律效力。</w:t>
      </w:r>
    </w:p>
    <w:p>
      <w:pPr>
        <w:snapToGrid w:val="0"/>
        <w:spacing w:before="120" w:after="120" w:line="360" w:lineRule="auto"/>
        <w:ind w:left="480" w:hanging="480"/>
        <w:rPr>
          <w:rFonts w:ascii="宋体" w:hAnsi="宋体" w:cs="宋体"/>
          <w:color w:val="000000" w:themeColor="text1"/>
          <w:sz w:val="24"/>
          <w14:textFill>
            <w14:solidFill>
              <w14:schemeClr w14:val="tx1"/>
            </w14:solidFill>
          </w14:textFill>
        </w:rPr>
      </w:pPr>
    </w:p>
    <w:p>
      <w:pPr>
        <w:spacing w:before="120" w:after="120" w:line="360" w:lineRule="auto"/>
        <w:rPr>
          <w:rFonts w:ascii="宋体" w:hAnsi="宋体" w:cs="宋体"/>
          <w:color w:val="000000" w:themeColor="text1"/>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甲方（盖公章）：                       乙方（盖公章）：</w:t>
      </w:r>
    </w:p>
    <w:p>
      <w:pPr>
        <w:snapToGrid w:val="0"/>
        <w:spacing w:before="120" w:after="120" w:line="360" w:lineRule="auto"/>
        <w:ind w:hanging="2"/>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法定代表人或受委托人                 法定代表人或受委托人</w:t>
      </w:r>
    </w:p>
    <w:p>
      <w:pPr>
        <w:snapToGrid w:val="0"/>
        <w:spacing w:before="120" w:after="120" w:line="360" w:lineRule="auto"/>
        <w:ind w:left="1" w:hanging="6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（签字）                             （签字）</w:t>
      </w:r>
    </w:p>
    <w:p>
      <w:pPr>
        <w:snapToGrid w:val="0"/>
        <w:spacing w:before="120" w:after="120" w:line="360" w:lineRule="auto"/>
        <w:ind w:hanging="2"/>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地址：                               地址： </w:t>
      </w:r>
    </w:p>
    <w:p>
      <w:pPr>
        <w:snapToGrid w:val="0"/>
        <w:spacing w:before="120" w:after="120" w:line="360" w:lineRule="auto"/>
        <w:ind w:hanging="2"/>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邮编：                               邮编：</w:t>
      </w:r>
    </w:p>
    <w:p>
      <w:pPr>
        <w:snapToGrid w:val="0"/>
        <w:spacing w:before="120" w:after="120" w:line="360" w:lineRule="auto"/>
        <w:ind w:hanging="2"/>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电话：                               电话：</w:t>
      </w:r>
    </w:p>
    <w:p>
      <w:pPr>
        <w:snapToGrid w:val="0"/>
        <w:spacing w:before="120" w:after="120" w:line="360" w:lineRule="auto"/>
        <w:ind w:hanging="2"/>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传真：                               传真：</w:t>
      </w:r>
    </w:p>
    <w:p>
      <w:pPr>
        <w:snapToGrid w:val="0"/>
        <w:spacing w:before="120" w:after="120" w:line="360" w:lineRule="auto"/>
        <w:ind w:hanging="2"/>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开户银行：                           开户银行：</w:t>
      </w:r>
    </w:p>
    <w:p>
      <w:pPr>
        <w:snapToGrid w:val="0"/>
        <w:spacing w:before="120" w:after="120" w:line="360" w:lineRule="auto"/>
        <w:ind w:hanging="2"/>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帐号：                               帐号：</w:t>
      </w:r>
    </w:p>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spacing w:line="360" w:lineRule="auto"/>
        <w:rPr>
          <w:rFonts w:ascii="宋体" w:hAnsi="宋体" w:cs="宋体"/>
          <w:b/>
          <w:color w:val="000000" w:themeColor="text1"/>
          <w:sz w:val="24"/>
          <w14:textFill>
            <w14:solidFill>
              <w14:schemeClr w14:val="tx1"/>
            </w14:solidFill>
          </w14:textFill>
        </w:rPr>
      </w:pPr>
    </w:p>
    <w:p>
      <w:pPr>
        <w:snapToGrid w:val="0"/>
        <w:spacing w:before="120" w:after="120" w:line="360" w:lineRule="auto"/>
        <w:jc w:val="center"/>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注：签订合同时，可以使用项目相关国家标准合同文本。</w:t>
      </w:r>
      <w:r>
        <w:rPr>
          <w:color w:val="000000" w:themeColor="text1"/>
          <w14:textFill>
            <w14:solidFill>
              <w14:schemeClr w14:val="tx1"/>
            </w14:solidFill>
          </w14:textFill>
        </w:rPr>
        <w:br w:type="page"/>
      </w:r>
    </w:p>
    <w:p>
      <w:pPr>
        <w:pStyle w:val="4"/>
        <w:keepNext w:val="0"/>
        <w:keepLines w:val="0"/>
        <w:pageBreakBefore/>
        <w:jc w:val="center"/>
        <w:rPr>
          <w:rFonts w:ascii="宋体" w:hAnsi="宋体" w:cs="宋体"/>
          <w:sz w:val="32"/>
          <w:szCs w:val="32"/>
        </w:rPr>
      </w:pPr>
      <w:bookmarkStart w:id="10" w:name="_Toc8916"/>
      <w:bookmarkStart w:id="11" w:name="_Toc28572"/>
      <w:r>
        <w:rPr>
          <w:rFonts w:hint="eastAsia" w:ascii="宋体" w:hAnsi="宋体" w:cs="宋体"/>
          <w:sz w:val="32"/>
          <w:szCs w:val="32"/>
        </w:rPr>
        <w:t>第七章  谈判响应文件附件格式</w:t>
      </w:r>
      <w:bookmarkEnd w:id="10"/>
    </w:p>
    <w:p>
      <w:pPr>
        <w:keepNext/>
        <w:keepLines/>
        <w:spacing w:before="260" w:after="260" w:line="416" w:lineRule="auto"/>
        <w:outlineLvl w:val="1"/>
        <w:rPr>
          <w:rFonts w:ascii="宋体" w:hAnsi="宋体" w:cs="宋体"/>
          <w:bCs/>
          <w:sz w:val="24"/>
          <w:szCs w:val="32"/>
        </w:rPr>
      </w:pPr>
      <w:bookmarkStart w:id="12" w:name="_Toc28609"/>
      <w:bookmarkStart w:id="13" w:name="_Toc3306"/>
      <w:r>
        <w:rPr>
          <w:rFonts w:hint="eastAsia" w:ascii="宋体" w:hAnsi="宋体" w:cs="宋体"/>
          <w:bCs/>
          <w:sz w:val="24"/>
          <w:szCs w:val="32"/>
        </w:rPr>
        <w:t>附件一：</w:t>
      </w:r>
      <w:bookmarkEnd w:id="12"/>
      <w:r>
        <w:rPr>
          <w:rFonts w:hint="eastAsia" w:ascii="宋体" w:hAnsi="宋体" w:cs="宋体"/>
          <w:bCs/>
          <w:sz w:val="24"/>
          <w:szCs w:val="32"/>
        </w:rPr>
        <w:t>投 标 书</w:t>
      </w:r>
      <w:bookmarkEnd w:id="13"/>
    </w:p>
    <w:p>
      <w:pPr>
        <w:jc w:val="center"/>
        <w:rPr>
          <w:rFonts w:ascii="宋体" w:hAnsi="宋体" w:cs="宋体"/>
          <w:b/>
          <w:bCs/>
          <w:sz w:val="36"/>
          <w:szCs w:val="36"/>
        </w:rPr>
      </w:pPr>
      <w:r>
        <w:rPr>
          <w:rFonts w:hint="eastAsia" w:ascii="宋体" w:hAnsi="宋体" w:cs="宋体"/>
          <w:b/>
          <w:bCs/>
          <w:sz w:val="36"/>
          <w:szCs w:val="36"/>
        </w:rPr>
        <w:t>投 标 书</w:t>
      </w:r>
    </w:p>
    <w:p>
      <w:pPr>
        <w:widowControl/>
        <w:overflowPunct w:val="0"/>
        <w:autoSpaceDE w:val="0"/>
        <w:autoSpaceDN w:val="0"/>
        <w:adjustRightInd w:val="0"/>
        <w:spacing w:line="360" w:lineRule="auto"/>
        <w:jc w:val="left"/>
        <w:textAlignment w:val="baseline"/>
        <w:rPr>
          <w:rFonts w:ascii="宋体" w:hAnsi="宋体" w:cs="宋体"/>
          <w:kern w:val="0"/>
          <w:sz w:val="24"/>
        </w:rPr>
      </w:pPr>
    </w:p>
    <w:p>
      <w:pPr>
        <w:widowControl/>
        <w:overflowPunct w:val="0"/>
        <w:autoSpaceDE w:val="0"/>
        <w:autoSpaceDN w:val="0"/>
        <w:adjustRightInd w:val="0"/>
        <w:spacing w:line="360" w:lineRule="auto"/>
        <w:jc w:val="left"/>
        <w:textAlignment w:val="baseline"/>
        <w:rPr>
          <w:rFonts w:ascii="宋体" w:hAnsi="宋体" w:cs="宋体"/>
          <w:kern w:val="0"/>
          <w:sz w:val="24"/>
        </w:rPr>
      </w:pPr>
      <w:r>
        <w:rPr>
          <w:rFonts w:hint="eastAsia" w:ascii="宋体" w:hAnsi="宋体" w:cs="宋体"/>
          <w:kern w:val="0"/>
          <w:sz w:val="24"/>
        </w:rPr>
        <w:t>致：浙江广厦建设职业技术大学</w:t>
      </w:r>
    </w:p>
    <w:p>
      <w:pPr>
        <w:widowControl/>
        <w:wordWrap w:val="0"/>
        <w:overflowPunct w:val="0"/>
        <w:autoSpaceDE w:val="0"/>
        <w:autoSpaceDN w:val="0"/>
        <w:adjustRightInd w:val="0"/>
        <w:spacing w:line="360" w:lineRule="auto"/>
        <w:ind w:firstLine="540" w:firstLineChars="225"/>
        <w:jc w:val="left"/>
        <w:textAlignment w:val="baseline"/>
        <w:rPr>
          <w:rFonts w:ascii="宋体" w:hAnsi="宋体" w:cs="宋体"/>
          <w:kern w:val="0"/>
          <w:sz w:val="24"/>
        </w:rPr>
      </w:pPr>
      <w:r>
        <w:rPr>
          <w:rFonts w:hint="eastAsia" w:ascii="宋体" w:hAnsi="宋体" w:cs="宋体"/>
          <w:kern w:val="0"/>
          <w:sz w:val="24"/>
        </w:rPr>
        <w:t>根据贵方为</w:t>
      </w:r>
      <w:r>
        <w:rPr>
          <w:rFonts w:hint="eastAsia" w:ascii="宋体" w:hAnsi="宋体" w:cs="宋体"/>
          <w:kern w:val="0"/>
          <w:sz w:val="24"/>
          <w:u w:val="single"/>
        </w:rPr>
        <w:t xml:space="preserve">                </w:t>
      </w:r>
      <w:r>
        <w:rPr>
          <w:rFonts w:hint="eastAsia" w:ascii="宋体" w:hAnsi="宋体" w:cs="宋体"/>
          <w:kern w:val="0"/>
          <w:sz w:val="24"/>
        </w:rPr>
        <w:t>项目的投标邀请</w:t>
      </w:r>
      <w:r>
        <w:rPr>
          <w:rFonts w:hint="eastAsia" w:ascii="宋体" w:hAnsi="宋体" w:cs="宋体"/>
          <w:kern w:val="0"/>
          <w:sz w:val="24"/>
          <w:u w:val="single"/>
        </w:rPr>
        <w:t xml:space="preserve">             </w:t>
      </w:r>
      <w:r>
        <w:rPr>
          <w:rFonts w:hint="eastAsia" w:ascii="宋体" w:hAnsi="宋体" w:cs="宋体"/>
          <w:kern w:val="0"/>
          <w:sz w:val="24"/>
        </w:rPr>
        <w:t>(采购编号)，签字代表_____________________(全名、职务) 经正式授权并代表</w:t>
      </w:r>
      <w:r>
        <w:rPr>
          <w:rFonts w:hint="eastAsia" w:ascii="宋体" w:hAnsi="宋体" w:cs="宋体"/>
          <w:sz w:val="24"/>
        </w:rPr>
        <w:t>谈判响应方</w:t>
      </w:r>
      <w:r>
        <w:rPr>
          <w:rFonts w:hint="eastAsia" w:ascii="宋体" w:hAnsi="宋体" w:cs="宋体"/>
          <w:kern w:val="0"/>
          <w:sz w:val="24"/>
        </w:rPr>
        <w:t>______________________________ (</w:t>
      </w:r>
      <w:r>
        <w:rPr>
          <w:rFonts w:hint="eastAsia" w:ascii="宋体" w:hAnsi="宋体" w:cs="宋体"/>
          <w:sz w:val="24"/>
        </w:rPr>
        <w:t>谈判响应方</w:t>
      </w:r>
      <w:r>
        <w:rPr>
          <w:rFonts w:hint="eastAsia" w:ascii="宋体" w:hAnsi="宋体" w:cs="宋体"/>
          <w:kern w:val="0"/>
          <w:sz w:val="24"/>
        </w:rPr>
        <w:t>名称、地址)。</w:t>
      </w:r>
    </w:p>
    <w:p>
      <w:pPr>
        <w:widowControl/>
        <w:overflowPunct w:val="0"/>
        <w:autoSpaceDE w:val="0"/>
        <w:autoSpaceDN w:val="0"/>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rPr>
        <w:t>据此函，签字代表宣布同意如下：</w:t>
      </w:r>
    </w:p>
    <w:p>
      <w:pPr>
        <w:widowControl/>
        <w:overflowPunct w:val="0"/>
        <w:autoSpaceDE w:val="0"/>
        <w:autoSpaceDN w:val="0"/>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rPr>
        <w:t>1．所附谈判报价表中规定的应提供和支付的服务投标总价（第一次报价</w:t>
      </w:r>
      <w:r>
        <w:rPr>
          <w:rFonts w:hint="eastAsia" w:ascii="宋体" w:hAnsi="宋体" w:cs="宋体"/>
          <w:b/>
          <w:kern w:val="0"/>
          <w:sz w:val="24"/>
        </w:rPr>
        <w:t>）</w:t>
      </w:r>
      <w:r>
        <w:rPr>
          <w:rFonts w:hint="eastAsia" w:ascii="宋体" w:hAnsi="宋体" w:cs="宋体"/>
          <w:kern w:val="0"/>
          <w:sz w:val="24"/>
        </w:rPr>
        <w:t>为(注明币种)</w:t>
      </w:r>
      <w:r>
        <w:rPr>
          <w:rFonts w:hint="eastAsia" w:ascii="宋体" w:hAnsi="宋体" w:cs="宋体"/>
          <w:kern w:val="0"/>
          <w:sz w:val="24"/>
          <w:u w:val="single"/>
        </w:rPr>
        <w:t xml:space="preserve">          </w:t>
      </w:r>
      <w:r>
        <w:rPr>
          <w:rFonts w:hint="eastAsia" w:ascii="宋体" w:hAnsi="宋体" w:cs="宋体"/>
          <w:kern w:val="0"/>
          <w:sz w:val="24"/>
        </w:rPr>
        <w:t>，即(大写)</w:t>
      </w:r>
      <w:r>
        <w:rPr>
          <w:rFonts w:hint="eastAsia" w:ascii="宋体" w:hAnsi="宋体" w:cs="宋体"/>
          <w:kern w:val="0"/>
          <w:sz w:val="24"/>
          <w:u w:val="single"/>
        </w:rPr>
        <w:t xml:space="preserve">                    　　　　   </w:t>
      </w:r>
      <w:r>
        <w:rPr>
          <w:rFonts w:hint="eastAsia" w:ascii="宋体" w:hAnsi="宋体" w:cs="宋体"/>
          <w:kern w:val="0"/>
          <w:sz w:val="24"/>
        </w:rPr>
        <w:t>。</w:t>
      </w:r>
    </w:p>
    <w:p>
      <w:pPr>
        <w:widowControl/>
        <w:overflowPunct w:val="0"/>
        <w:autoSpaceDE w:val="0"/>
        <w:autoSpaceDN w:val="0"/>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rPr>
        <w:t>2．</w:t>
      </w:r>
      <w:r>
        <w:rPr>
          <w:rFonts w:hint="eastAsia" w:ascii="宋体" w:hAnsi="宋体" w:cs="宋体"/>
          <w:sz w:val="24"/>
        </w:rPr>
        <w:t>谈判响应方</w:t>
      </w:r>
      <w:r>
        <w:rPr>
          <w:rFonts w:hint="eastAsia" w:ascii="宋体" w:hAnsi="宋体" w:cs="宋体"/>
          <w:kern w:val="0"/>
          <w:sz w:val="24"/>
        </w:rPr>
        <w:t>已详细审查全部招标文件，我们完全理解并同意放弃对这方面有不明及误解的权利。</w:t>
      </w:r>
    </w:p>
    <w:p>
      <w:pPr>
        <w:widowControl/>
        <w:overflowPunct w:val="0"/>
        <w:autoSpaceDE w:val="0"/>
        <w:autoSpaceDN w:val="0"/>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rPr>
        <w:t>3．我方将按招标文件规定履行合同责任和义务。</w:t>
      </w:r>
    </w:p>
    <w:p>
      <w:pPr>
        <w:widowControl/>
        <w:overflowPunct w:val="0"/>
        <w:autoSpaceDE w:val="0"/>
        <w:autoSpaceDN w:val="0"/>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rPr>
        <w:t>4．其投标自开标日起有效期</w:t>
      </w:r>
      <w:r>
        <w:rPr>
          <w:rFonts w:hint="eastAsia" w:ascii="宋体" w:hAnsi="宋体" w:cs="宋体"/>
          <w:kern w:val="0"/>
          <w:sz w:val="24"/>
          <w:u w:val="single"/>
        </w:rPr>
        <w:t xml:space="preserve"> 60 </w:t>
      </w:r>
      <w:r>
        <w:rPr>
          <w:rFonts w:hint="eastAsia" w:ascii="宋体" w:hAnsi="宋体" w:cs="宋体"/>
          <w:kern w:val="0"/>
          <w:sz w:val="24"/>
        </w:rPr>
        <w:t>天。</w:t>
      </w:r>
    </w:p>
    <w:p>
      <w:pPr>
        <w:widowControl/>
        <w:overflowPunct w:val="0"/>
        <w:autoSpaceDE w:val="0"/>
        <w:autoSpaceDN w:val="0"/>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rPr>
        <w:t>5．如果在规定的开标时间后，我方在投标有效期内撤回投标或放弃中标的，加入政府采购黑名单。</w:t>
      </w:r>
    </w:p>
    <w:p>
      <w:pPr>
        <w:widowControl/>
        <w:overflowPunct w:val="0"/>
        <w:autoSpaceDE w:val="0"/>
        <w:autoSpaceDN w:val="0"/>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rPr>
        <w:t>6．我方同意提供按照贵方可能要求的与其投标有关的一切数据或资料，理解贵方不一定要接受最低价的投标或收到的任何投标。</w:t>
      </w:r>
    </w:p>
    <w:p>
      <w:pPr>
        <w:widowControl/>
        <w:overflowPunct w:val="0"/>
        <w:autoSpaceDE w:val="0"/>
        <w:autoSpaceDN w:val="0"/>
        <w:adjustRightInd w:val="0"/>
        <w:spacing w:line="360" w:lineRule="auto"/>
        <w:ind w:firstLine="480" w:firstLineChars="200"/>
        <w:jc w:val="left"/>
        <w:textAlignment w:val="baseline"/>
        <w:rPr>
          <w:rFonts w:ascii="宋体" w:hAnsi="宋体" w:cs="宋体"/>
          <w:kern w:val="0"/>
          <w:sz w:val="24"/>
        </w:rPr>
      </w:pPr>
      <w:r>
        <w:rPr>
          <w:rFonts w:hint="eastAsia" w:ascii="宋体" w:hAnsi="宋体" w:cs="宋体"/>
          <w:kern w:val="0"/>
          <w:sz w:val="24"/>
        </w:rPr>
        <w:t>7．与本投标有关的一切正式往来通讯请寄：</w:t>
      </w:r>
    </w:p>
    <w:p>
      <w:pPr>
        <w:widowControl/>
        <w:overflowPunct w:val="0"/>
        <w:autoSpaceDE w:val="0"/>
        <w:autoSpaceDN w:val="0"/>
        <w:adjustRightInd w:val="0"/>
        <w:spacing w:line="360" w:lineRule="auto"/>
        <w:jc w:val="left"/>
        <w:textAlignment w:val="baseline"/>
        <w:rPr>
          <w:rFonts w:ascii="宋体" w:hAnsi="宋体" w:cs="宋体"/>
          <w:kern w:val="0"/>
          <w:sz w:val="24"/>
        </w:rPr>
      </w:pPr>
      <w:r>
        <w:rPr>
          <w:rFonts w:hint="eastAsia" w:ascii="宋体" w:hAnsi="宋体" w:cs="宋体"/>
          <w:kern w:val="0"/>
          <w:sz w:val="24"/>
        </w:rPr>
        <w:t xml:space="preserve">    地址：______________________邮编：______________________                </w:t>
      </w:r>
    </w:p>
    <w:p>
      <w:pPr>
        <w:widowControl/>
        <w:overflowPunct w:val="0"/>
        <w:autoSpaceDE w:val="0"/>
        <w:autoSpaceDN w:val="0"/>
        <w:adjustRightInd w:val="0"/>
        <w:spacing w:line="360" w:lineRule="auto"/>
        <w:ind w:firstLine="480"/>
        <w:jc w:val="left"/>
        <w:textAlignment w:val="baseline"/>
        <w:rPr>
          <w:rFonts w:ascii="宋体" w:hAnsi="宋体" w:cs="宋体"/>
          <w:kern w:val="0"/>
          <w:sz w:val="24"/>
        </w:rPr>
      </w:pPr>
      <w:r>
        <w:rPr>
          <w:rFonts w:hint="eastAsia" w:ascii="宋体" w:hAnsi="宋体" w:cs="宋体"/>
          <w:kern w:val="0"/>
          <w:sz w:val="24"/>
        </w:rPr>
        <w:t xml:space="preserve">电话：______________________传真：______________________     </w:t>
      </w:r>
    </w:p>
    <w:p>
      <w:pPr>
        <w:widowControl/>
        <w:overflowPunct w:val="0"/>
        <w:autoSpaceDE w:val="0"/>
        <w:autoSpaceDN w:val="0"/>
        <w:adjustRightInd w:val="0"/>
        <w:spacing w:line="360" w:lineRule="auto"/>
        <w:ind w:firstLine="480"/>
        <w:jc w:val="left"/>
        <w:textAlignment w:val="baseline"/>
        <w:rPr>
          <w:rFonts w:ascii="宋体" w:hAnsi="宋体" w:cs="宋体"/>
          <w:kern w:val="0"/>
          <w:sz w:val="24"/>
        </w:rPr>
      </w:pPr>
      <w:r>
        <w:rPr>
          <w:rFonts w:hint="eastAsia" w:ascii="宋体" w:hAnsi="宋体" w:cs="宋体"/>
          <w:kern w:val="0"/>
          <w:sz w:val="24"/>
        </w:rPr>
        <w:t xml:space="preserve">           </w:t>
      </w:r>
    </w:p>
    <w:p>
      <w:pPr>
        <w:widowControl/>
        <w:overflowPunct w:val="0"/>
        <w:autoSpaceDE w:val="0"/>
        <w:autoSpaceDN w:val="0"/>
        <w:adjustRightInd w:val="0"/>
        <w:spacing w:line="360" w:lineRule="auto"/>
        <w:jc w:val="left"/>
        <w:textAlignment w:val="baseline"/>
        <w:rPr>
          <w:rFonts w:ascii="宋体" w:hAnsi="宋体" w:cs="宋体"/>
          <w:kern w:val="0"/>
          <w:sz w:val="24"/>
        </w:rPr>
      </w:pPr>
      <w:r>
        <w:rPr>
          <w:rFonts w:hint="eastAsia" w:ascii="宋体" w:hAnsi="宋体" w:cs="宋体"/>
          <w:kern w:val="0"/>
          <w:sz w:val="24"/>
        </w:rPr>
        <w:t xml:space="preserve">    </w:t>
      </w:r>
      <w:r>
        <w:rPr>
          <w:rFonts w:hint="eastAsia" w:ascii="宋体" w:hAnsi="宋体" w:cs="宋体"/>
          <w:sz w:val="24"/>
        </w:rPr>
        <w:t>谈判响应方</w:t>
      </w:r>
      <w:r>
        <w:rPr>
          <w:rFonts w:hint="eastAsia" w:ascii="宋体" w:hAnsi="宋体" w:cs="宋体"/>
          <w:kern w:val="0"/>
          <w:sz w:val="24"/>
        </w:rPr>
        <w:t>名称: ___________</w:t>
      </w:r>
      <w:r>
        <w:rPr>
          <w:rFonts w:hint="eastAsia" w:ascii="宋体" w:hAnsi="宋体" w:cs="宋体"/>
          <w:kern w:val="0"/>
          <w:sz w:val="24"/>
        </w:rPr>
        <w:softHyphen/>
      </w:r>
      <w:r>
        <w:rPr>
          <w:rFonts w:hint="eastAsia" w:ascii="宋体" w:hAnsi="宋体" w:cs="宋体"/>
          <w:kern w:val="0"/>
          <w:sz w:val="24"/>
        </w:rPr>
        <w:softHyphen/>
      </w:r>
      <w:r>
        <w:rPr>
          <w:rFonts w:hint="eastAsia" w:ascii="宋体" w:hAnsi="宋体" w:cs="宋体"/>
          <w:kern w:val="0"/>
          <w:sz w:val="24"/>
        </w:rPr>
        <w:softHyphen/>
      </w:r>
      <w:r>
        <w:rPr>
          <w:rFonts w:hint="eastAsia" w:ascii="宋体" w:hAnsi="宋体" w:cs="宋体"/>
          <w:kern w:val="0"/>
          <w:sz w:val="24"/>
        </w:rPr>
        <w:softHyphen/>
      </w:r>
      <w:r>
        <w:rPr>
          <w:rFonts w:hint="eastAsia" w:ascii="宋体" w:hAnsi="宋体" w:cs="宋体"/>
          <w:kern w:val="0"/>
          <w:sz w:val="24"/>
        </w:rPr>
        <w:t>________________ (公章)</w:t>
      </w:r>
    </w:p>
    <w:p>
      <w:pPr>
        <w:widowControl/>
        <w:overflowPunct w:val="0"/>
        <w:autoSpaceDE w:val="0"/>
        <w:autoSpaceDN w:val="0"/>
        <w:adjustRightInd w:val="0"/>
        <w:spacing w:line="360" w:lineRule="auto"/>
        <w:jc w:val="left"/>
        <w:textAlignment w:val="baseline"/>
        <w:rPr>
          <w:rFonts w:ascii="宋体" w:hAnsi="宋体" w:cs="宋体"/>
          <w:kern w:val="0"/>
          <w:sz w:val="24"/>
        </w:rPr>
      </w:pPr>
      <w:r>
        <w:rPr>
          <w:rFonts w:hint="eastAsia" w:ascii="宋体" w:hAnsi="宋体" w:cs="宋体"/>
          <w:kern w:val="0"/>
          <w:sz w:val="24"/>
        </w:rPr>
        <w:t xml:space="preserve">    </w:t>
      </w:r>
      <w:r>
        <w:rPr>
          <w:rFonts w:hint="eastAsia" w:ascii="宋体" w:hAnsi="宋体" w:cs="宋体"/>
          <w:sz w:val="24"/>
        </w:rPr>
        <w:t>谈判响应方</w:t>
      </w:r>
      <w:r>
        <w:rPr>
          <w:rFonts w:hint="eastAsia" w:ascii="宋体" w:hAnsi="宋体" w:cs="宋体"/>
          <w:kern w:val="0"/>
          <w:sz w:val="24"/>
        </w:rPr>
        <w:t>代表姓名、职务: ______________________</w:t>
      </w:r>
    </w:p>
    <w:p>
      <w:pPr>
        <w:spacing w:line="360" w:lineRule="auto"/>
        <w:ind w:firstLine="475" w:firstLineChars="198"/>
        <w:rPr>
          <w:rFonts w:ascii="宋体" w:hAnsi="宋体" w:cs="宋体"/>
          <w:sz w:val="24"/>
        </w:rPr>
      </w:pPr>
      <w:r>
        <w:rPr>
          <w:rFonts w:hint="eastAsia" w:ascii="宋体" w:hAnsi="宋体" w:cs="宋体"/>
          <w:sz w:val="24"/>
        </w:rPr>
        <w:t>谈判响应日期: _______年____月____日  委托代理人签字: ________</w:t>
      </w:r>
      <w:r>
        <w:rPr>
          <w:rFonts w:hint="eastAsia" w:ascii="宋体" w:hAnsi="宋体" w:cs="宋体"/>
          <w:sz w:val="24"/>
        </w:rPr>
        <w:softHyphen/>
      </w:r>
      <w:r>
        <w:rPr>
          <w:rFonts w:hint="eastAsia" w:ascii="宋体" w:hAnsi="宋体" w:cs="宋体"/>
          <w:sz w:val="24"/>
        </w:rPr>
        <w:t>__</w:t>
      </w:r>
    </w:p>
    <w:p>
      <w:pPr>
        <w:spacing w:line="360" w:lineRule="auto"/>
        <w:rPr>
          <w:rFonts w:ascii="宋体" w:hAnsi="宋体" w:cs="宋体"/>
          <w:b/>
          <w:bCs/>
          <w:sz w:val="24"/>
        </w:rPr>
      </w:pPr>
    </w:p>
    <w:p>
      <w:pPr>
        <w:jc w:val="center"/>
        <w:rPr>
          <w:rFonts w:ascii="宋体" w:hAnsi="宋体" w:cs="宋体"/>
          <w:b/>
          <w:bCs/>
          <w:sz w:val="24"/>
        </w:rPr>
      </w:pPr>
    </w:p>
    <w:p>
      <w:pPr>
        <w:keepNext/>
        <w:keepLines/>
        <w:pageBreakBefore/>
        <w:spacing w:before="260" w:after="260" w:line="416" w:lineRule="auto"/>
        <w:outlineLvl w:val="1"/>
        <w:rPr>
          <w:rFonts w:ascii="宋体" w:hAnsi="宋体" w:cs="宋体"/>
          <w:sz w:val="24"/>
          <w:szCs w:val="32"/>
        </w:rPr>
      </w:pPr>
      <w:bookmarkStart w:id="14" w:name="_Toc24222"/>
      <w:r>
        <w:rPr>
          <w:rFonts w:hint="eastAsia" w:ascii="宋体" w:hAnsi="宋体" w:cs="宋体"/>
          <w:bCs/>
          <w:sz w:val="24"/>
          <w:szCs w:val="32"/>
        </w:rPr>
        <w:t>附件</w:t>
      </w:r>
      <w:r>
        <w:rPr>
          <w:rFonts w:hint="eastAsia" w:ascii="宋体" w:hAnsi="宋体" w:cs="宋体"/>
          <w:kern w:val="0"/>
          <w:sz w:val="24"/>
        </w:rPr>
        <w:t>二</w:t>
      </w:r>
      <w:r>
        <w:rPr>
          <w:rFonts w:hint="eastAsia" w:ascii="宋体" w:hAnsi="宋体" w:cs="宋体"/>
          <w:bCs/>
          <w:sz w:val="24"/>
          <w:szCs w:val="32"/>
        </w:rPr>
        <w:t>：初次报价表</w:t>
      </w:r>
      <w:bookmarkEnd w:id="14"/>
    </w:p>
    <w:p>
      <w:pPr>
        <w:snapToGrid w:val="0"/>
        <w:spacing w:before="50" w:after="50" w:line="360" w:lineRule="auto"/>
        <w:jc w:val="center"/>
        <w:rPr>
          <w:rFonts w:ascii="宋体" w:hAnsi="宋体" w:cs="宋体"/>
          <w:b/>
          <w:sz w:val="32"/>
          <w:szCs w:val="32"/>
        </w:rPr>
      </w:pPr>
      <w:r>
        <w:rPr>
          <w:rFonts w:hint="eastAsia" w:ascii="宋体" w:hAnsi="宋体" w:cs="宋体"/>
          <w:b/>
          <w:sz w:val="32"/>
          <w:szCs w:val="32"/>
        </w:rPr>
        <w:t>初次报价表</w:t>
      </w:r>
    </w:p>
    <w:p>
      <w:pPr>
        <w:snapToGrid w:val="0"/>
        <w:spacing w:before="50" w:after="50"/>
        <w:rPr>
          <w:rFonts w:ascii="宋体" w:hAnsi="宋体" w:cs="宋体"/>
          <w:sz w:val="24"/>
        </w:rPr>
      </w:pPr>
      <w:r>
        <w:rPr>
          <w:rFonts w:hint="eastAsia" w:ascii="宋体" w:hAnsi="宋体" w:cs="宋体"/>
          <w:sz w:val="24"/>
        </w:rPr>
        <w:t>谈判编号：</w:t>
      </w:r>
      <w:r>
        <w:rPr>
          <w:rFonts w:hint="eastAsia" w:ascii="宋体" w:hAnsi="宋体" w:cs="宋体"/>
          <w:sz w:val="24"/>
          <w:u w:val="single"/>
        </w:rPr>
        <w:t xml:space="preserve">               </w:t>
      </w:r>
      <w:r>
        <w:rPr>
          <w:rFonts w:hint="eastAsia" w:ascii="宋体" w:hAnsi="宋体" w:cs="宋体"/>
          <w:sz w:val="24"/>
        </w:rPr>
        <w:t>谈判响应方名称：</w:t>
      </w:r>
      <w:r>
        <w:rPr>
          <w:rFonts w:hint="eastAsia" w:ascii="宋体" w:hAnsi="宋体" w:cs="宋体"/>
          <w:sz w:val="24"/>
          <w:u w:val="single"/>
        </w:rPr>
        <w:t xml:space="preserve">                   </w:t>
      </w:r>
      <w:r>
        <w:rPr>
          <w:rFonts w:hint="eastAsia" w:ascii="宋体" w:hAnsi="宋体" w:cs="宋体"/>
          <w:sz w:val="24"/>
        </w:rPr>
        <w:t xml:space="preserve">  单位：万元</w:t>
      </w:r>
    </w:p>
    <w:p>
      <w:pPr>
        <w:pStyle w:val="19"/>
        <w:ind w:firstLine="0" w:firstLineChars="0"/>
      </w:pPr>
    </w:p>
    <w:p>
      <w:pPr>
        <w:pStyle w:val="44"/>
        <w:snapToGrid w:val="0"/>
        <w:spacing w:line="240" w:lineRule="auto"/>
        <w:jc w:val="center"/>
        <w:outlineLvl w:val="0"/>
        <w:rPr>
          <w:rFonts w:ascii="黑体" w:hAnsi="黑体" w:eastAsia="黑体"/>
          <w:color w:val="000000" w:themeColor="text1"/>
          <w:sz w:val="30"/>
          <w:szCs w:val="30"/>
          <w14:textFill>
            <w14:solidFill>
              <w14:schemeClr w14:val="tx1"/>
            </w14:solidFill>
          </w14:textFill>
        </w:rPr>
      </w:pPr>
    </w:p>
    <w:bookmarkEnd w:id="11"/>
    <w:tbl>
      <w:tblPr>
        <w:tblStyle w:val="2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18"/>
        <w:gridCol w:w="44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1" w:hRule="atLeast"/>
        </w:trPr>
        <w:tc>
          <w:tcPr>
            <w:tcW w:w="46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000000"/>
                <w:sz w:val="24"/>
              </w:rPr>
            </w:pPr>
            <w:r>
              <w:rPr>
                <w:rFonts w:hint="eastAsia" w:ascii="宋体" w:hAnsi="宋体"/>
                <w:b/>
                <w:color w:val="000000"/>
                <w:sz w:val="24"/>
              </w:rPr>
              <w:t>项目名称</w:t>
            </w:r>
          </w:p>
        </w:tc>
        <w:tc>
          <w:tcPr>
            <w:tcW w:w="4428"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000000"/>
                <w:sz w:val="24"/>
              </w:rPr>
            </w:pPr>
            <w:r>
              <w:rPr>
                <w:rFonts w:hint="eastAsia" w:ascii="宋体" w:hAnsi="宋体"/>
                <w:b/>
                <w:sz w:val="24"/>
              </w:rPr>
              <w:t>谈判报</w:t>
            </w:r>
            <w:r>
              <w:rPr>
                <w:rFonts w:hint="eastAsia" w:ascii="宋体" w:hAnsi="宋体"/>
                <w:b/>
                <w:color w:val="000000"/>
                <w:sz w:val="24"/>
              </w:rPr>
              <w:t>价</w:t>
            </w:r>
          </w:p>
          <w:p>
            <w:pPr>
              <w:snapToGrid w:val="0"/>
              <w:spacing w:before="50" w:after="50"/>
              <w:jc w:val="center"/>
              <w:rPr>
                <w:rFonts w:ascii="宋体" w:hAnsi="宋体"/>
                <w:b/>
                <w:color w:val="000000"/>
                <w:sz w:val="24"/>
              </w:rPr>
            </w:pPr>
            <w:r>
              <w:rPr>
                <w:rFonts w:hint="eastAsia" w:ascii="宋体" w:hAnsi="宋体"/>
                <w:b/>
                <w:color w:val="000000"/>
                <w:sz w:val="24"/>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1" w:hRule="atLeast"/>
        </w:trPr>
        <w:tc>
          <w:tcPr>
            <w:tcW w:w="46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rPr>
            </w:pPr>
            <w:r>
              <w:rPr>
                <w:rFonts w:hint="eastAsia" w:cs="宋体"/>
                <w:b/>
                <w:bCs/>
                <w:color w:val="000000" w:themeColor="text1"/>
                <w:sz w:val="30"/>
                <w:szCs w:val="30"/>
                <w14:textFill>
                  <w14:solidFill>
                    <w14:schemeClr w14:val="tx1"/>
                  </w14:solidFill>
                </w14:textFill>
              </w:rPr>
              <w:t>移动式垃圾压缩机</w:t>
            </w:r>
          </w:p>
        </w:tc>
        <w:tc>
          <w:tcPr>
            <w:tcW w:w="4428"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000000"/>
                <w:sz w:val="24"/>
              </w:rPr>
            </w:pPr>
          </w:p>
        </w:tc>
      </w:tr>
    </w:tbl>
    <w:p>
      <w:pPr>
        <w:snapToGrid w:val="0"/>
        <w:spacing w:before="50" w:after="50"/>
        <w:rPr>
          <w:rFonts w:ascii="宋体" w:hAnsi="宋体"/>
          <w:color w:val="000000"/>
          <w:sz w:val="24"/>
          <w:szCs w:val="20"/>
        </w:rPr>
      </w:pPr>
    </w:p>
    <w:p>
      <w:pPr>
        <w:snapToGrid w:val="0"/>
        <w:spacing w:before="50" w:after="50" w:line="360" w:lineRule="auto"/>
        <w:jc w:val="left"/>
        <w:rPr>
          <w:rFonts w:ascii="宋体" w:hAnsi="宋体" w:cs="宋体"/>
          <w:sz w:val="24"/>
        </w:rPr>
      </w:pPr>
      <w:r>
        <w:rPr>
          <w:rFonts w:hint="eastAsia" w:ascii="宋体" w:hAnsi="宋体" w:cs="宋体"/>
          <w:sz w:val="24"/>
        </w:rPr>
        <w:t xml:space="preserve">注: </w:t>
      </w:r>
    </w:p>
    <w:p>
      <w:pPr>
        <w:snapToGrid w:val="0"/>
        <w:spacing w:before="50" w:after="50" w:line="360" w:lineRule="auto"/>
        <w:ind w:firstLine="480" w:firstLineChars="200"/>
        <w:jc w:val="left"/>
        <w:rPr>
          <w:rFonts w:ascii="宋体" w:hAnsi="宋体" w:cs="宋体"/>
          <w:sz w:val="24"/>
          <w:szCs w:val="20"/>
        </w:rPr>
      </w:pPr>
      <w:r>
        <w:rPr>
          <w:rFonts w:hint="eastAsia" w:ascii="宋体" w:hAnsi="宋体" w:cs="宋体"/>
          <w:sz w:val="24"/>
        </w:rPr>
        <w:t>1、报价一经涂改，应在涂改处加盖单位公章或者由法定代表人或授权委托人签字或盖章，否则其谈判作无效谈判处理。</w:t>
      </w:r>
    </w:p>
    <w:p>
      <w:pPr>
        <w:spacing w:line="360" w:lineRule="auto"/>
        <w:ind w:firstLine="480" w:firstLineChars="200"/>
        <w:rPr>
          <w:rFonts w:ascii="宋体" w:hAnsi="宋体" w:cs="宋体"/>
          <w:sz w:val="24"/>
        </w:rPr>
      </w:pPr>
      <w:r>
        <w:rPr>
          <w:rFonts w:hint="eastAsia" w:ascii="宋体" w:hAnsi="宋体" w:cs="宋体"/>
          <w:sz w:val="24"/>
        </w:rPr>
        <w:t>2、谈判报价是履行合同的最终价格，应包含完成本项目合同内容所涉及的全部费用，包含但不仅限于所需软件的设计、开发、优化、安装、平台对接、上线调试、试运行管理、技术培训、验收配合、第三方检测（如需）、售后服务以及完成采购需求所涉及的其他一切内容所需的全部费用，以及税金、人工费、管理费、合理利润、风险费、投标费用、招标代理费等一切成本及费用。</w:t>
      </w:r>
    </w:p>
    <w:p>
      <w:pPr>
        <w:snapToGrid w:val="0"/>
        <w:spacing w:before="50" w:after="50" w:line="360" w:lineRule="auto"/>
        <w:ind w:right="-817" w:rightChars="-389" w:firstLine="480" w:firstLineChars="200"/>
        <w:rPr>
          <w:rFonts w:ascii="宋体" w:hAnsi="宋体" w:cs="宋体"/>
          <w:sz w:val="24"/>
        </w:rPr>
      </w:pPr>
      <w:r>
        <w:rPr>
          <w:rFonts w:ascii="宋体" w:hAnsi="宋体" w:cs="宋体"/>
          <w:sz w:val="24"/>
        </w:rPr>
        <w:t>3</w:t>
      </w:r>
      <w:r>
        <w:rPr>
          <w:rFonts w:hint="eastAsia" w:ascii="宋体" w:hAnsi="宋体" w:cs="宋体"/>
          <w:sz w:val="24"/>
        </w:rPr>
        <w:t>、本表格式不允许修改，否则作无效谈判处理。</w:t>
      </w:r>
    </w:p>
    <w:p>
      <w:pPr>
        <w:snapToGrid w:val="0"/>
        <w:spacing w:before="50" w:after="50" w:line="360" w:lineRule="auto"/>
        <w:ind w:left="-3" w:leftChars="-72" w:right="-817" w:rightChars="-389" w:hanging="148" w:hangingChars="62"/>
        <w:rPr>
          <w:rFonts w:ascii="宋体" w:hAnsi="宋体" w:cs="宋体"/>
          <w:sz w:val="24"/>
        </w:rPr>
      </w:pPr>
      <w:r>
        <w:rPr>
          <w:rFonts w:hint="eastAsia" w:ascii="宋体" w:hAnsi="宋体" w:cs="宋体"/>
          <w:sz w:val="24"/>
        </w:rPr>
        <w:t xml:space="preserve"> </w:t>
      </w:r>
    </w:p>
    <w:p>
      <w:pPr>
        <w:snapToGrid w:val="0"/>
        <w:spacing w:before="50" w:after="50" w:line="360" w:lineRule="auto"/>
        <w:ind w:left="-3" w:leftChars="-15" w:right="-817" w:rightChars="-389" w:hanging="28" w:hangingChars="12"/>
        <w:rPr>
          <w:rFonts w:ascii="宋体" w:hAnsi="宋体" w:cs="宋体"/>
          <w:sz w:val="24"/>
        </w:rPr>
      </w:pPr>
      <w:r>
        <w:rPr>
          <w:rFonts w:hint="eastAsia" w:ascii="宋体" w:hAnsi="宋体" w:cs="宋体"/>
          <w:sz w:val="24"/>
        </w:rPr>
        <w:t>法定代表人或委托代理人（签字或盖章）：</w:t>
      </w:r>
    </w:p>
    <w:p>
      <w:pPr>
        <w:snapToGrid w:val="0"/>
        <w:spacing w:before="50" w:after="50" w:line="360" w:lineRule="auto"/>
        <w:ind w:left="-3" w:leftChars="-72" w:right="-817" w:rightChars="-389" w:hanging="148" w:hangingChars="62"/>
        <w:rPr>
          <w:rFonts w:ascii="宋体" w:hAnsi="宋体" w:cs="宋体"/>
          <w:sz w:val="24"/>
          <w:szCs w:val="20"/>
        </w:rPr>
      </w:pPr>
      <w:r>
        <w:rPr>
          <w:rFonts w:hint="eastAsia" w:ascii="宋体" w:hAnsi="宋体" w:cs="宋体"/>
          <w:sz w:val="24"/>
        </w:rPr>
        <w:t xml:space="preserve"> </w:t>
      </w:r>
    </w:p>
    <w:p>
      <w:pPr>
        <w:snapToGrid w:val="0"/>
        <w:spacing w:before="50" w:after="50" w:line="360" w:lineRule="auto"/>
        <w:ind w:left="-3" w:leftChars="-15" w:right="-817" w:rightChars="-389" w:hanging="28" w:hangingChars="12"/>
        <w:rPr>
          <w:rFonts w:ascii="宋体" w:hAnsi="宋体" w:cs="宋体"/>
          <w:sz w:val="24"/>
        </w:rPr>
      </w:pPr>
      <w:r>
        <w:rPr>
          <w:rFonts w:hint="eastAsia" w:ascii="宋体" w:hAnsi="宋体" w:cs="宋体"/>
          <w:sz w:val="24"/>
        </w:rPr>
        <w:t xml:space="preserve">谈判响应方名称（盖章）：  </w:t>
      </w:r>
    </w:p>
    <w:p>
      <w:pPr>
        <w:snapToGrid w:val="0"/>
        <w:spacing w:before="50" w:after="50" w:line="360" w:lineRule="auto"/>
        <w:ind w:left="-3" w:leftChars="-15" w:right="-817" w:rightChars="-389" w:hanging="28" w:hangingChars="12"/>
        <w:rPr>
          <w:rFonts w:ascii="宋体" w:hAnsi="宋体" w:cs="宋体"/>
          <w:sz w:val="24"/>
        </w:rPr>
      </w:pPr>
      <w:r>
        <w:rPr>
          <w:rFonts w:hint="eastAsia" w:ascii="宋体" w:hAnsi="宋体" w:cs="宋体"/>
          <w:sz w:val="24"/>
        </w:rPr>
        <w:t xml:space="preserve">                                        </w:t>
      </w:r>
    </w:p>
    <w:p>
      <w:pPr>
        <w:snapToGrid w:val="0"/>
        <w:spacing w:before="50" w:after="50"/>
        <w:ind w:left="-2" w:leftChars="-1" w:right="-817" w:rightChars="-389" w:firstLine="4920" w:firstLineChars="2050"/>
        <w:rPr>
          <w:rFonts w:ascii="宋体" w:hAnsi="宋体" w:cs="宋体"/>
          <w:sz w:val="24"/>
        </w:rPr>
      </w:pPr>
    </w:p>
    <w:p>
      <w:pPr>
        <w:snapToGrid w:val="0"/>
        <w:spacing w:before="50" w:after="50"/>
        <w:ind w:left="-2" w:leftChars="-1" w:right="-817" w:rightChars="-389" w:firstLine="4920" w:firstLineChars="2050"/>
        <w:rPr>
          <w:rFonts w:ascii="宋体" w:hAnsi="宋体" w:cs="宋体"/>
          <w:sz w:val="24"/>
        </w:rPr>
      </w:pPr>
      <w:r>
        <w:rPr>
          <w:rFonts w:hint="eastAsia" w:ascii="宋体" w:hAnsi="宋体" w:cs="宋体"/>
          <w:sz w:val="24"/>
        </w:rPr>
        <w:t>日期：    年   月   日</w:t>
      </w:r>
    </w:p>
    <w:p>
      <w:pPr>
        <w:pStyle w:val="3"/>
        <w:rPr>
          <w:rFonts w:ascii="宋体" w:hAnsi="宋体" w:cs="宋体"/>
          <w:sz w:val="24"/>
        </w:rPr>
      </w:pPr>
    </w:p>
    <w:p>
      <w:pPr>
        <w:pageBreakBefore/>
        <w:spacing w:before="260" w:after="260" w:line="415" w:lineRule="auto"/>
        <w:outlineLvl w:val="1"/>
        <w:rPr>
          <w:rFonts w:ascii="宋体" w:hAnsi="宋体" w:cs="宋体"/>
          <w:bCs/>
          <w:sz w:val="24"/>
          <w:szCs w:val="32"/>
        </w:rPr>
      </w:pPr>
      <w:bookmarkStart w:id="15" w:name="_Toc2511"/>
      <w:r>
        <w:rPr>
          <w:rFonts w:hint="eastAsia" w:ascii="宋体" w:hAnsi="宋体" w:cs="宋体"/>
          <w:bCs/>
          <w:sz w:val="24"/>
          <w:szCs w:val="32"/>
        </w:rPr>
        <w:t>附件三：法定代表人授权书</w:t>
      </w:r>
      <w:bookmarkEnd w:id="15"/>
    </w:p>
    <w:p>
      <w:pPr>
        <w:jc w:val="center"/>
        <w:rPr>
          <w:rFonts w:ascii="宋体" w:hAnsi="宋体" w:cs="宋体"/>
          <w:b/>
          <w:bCs/>
          <w:sz w:val="36"/>
          <w:szCs w:val="36"/>
        </w:rPr>
      </w:pPr>
      <w:r>
        <w:rPr>
          <w:rFonts w:hint="eastAsia" w:ascii="宋体" w:hAnsi="宋体" w:cs="宋体"/>
          <w:b/>
          <w:bCs/>
          <w:sz w:val="36"/>
          <w:szCs w:val="36"/>
        </w:rPr>
        <w:t>法定代表人授权书</w:t>
      </w:r>
    </w:p>
    <w:p>
      <w:pPr>
        <w:snapToGrid w:val="0"/>
        <w:spacing w:before="156" w:beforeLines="50" w:after="50"/>
        <w:rPr>
          <w:rFonts w:ascii="宋体" w:hAnsi="宋体" w:cs="宋体"/>
          <w:b/>
          <w:bCs/>
          <w:sz w:val="24"/>
          <w:szCs w:val="20"/>
        </w:rPr>
      </w:pPr>
      <w:r>
        <w:rPr>
          <w:rFonts w:hint="eastAsia" w:ascii="宋体" w:hAnsi="宋体" w:cs="宋体"/>
          <w:bCs/>
          <w:sz w:val="24"/>
        </w:rPr>
        <w:t>致：</w:t>
      </w:r>
      <w:r>
        <w:rPr>
          <w:rFonts w:hint="eastAsia" w:ascii="宋体" w:hAnsi="宋体" w:cs="宋体"/>
          <w:bCs/>
          <w:sz w:val="24"/>
          <w:u w:val="single"/>
        </w:rPr>
        <w:t xml:space="preserve">                  </w:t>
      </w:r>
      <w:r>
        <w:rPr>
          <w:rFonts w:hint="eastAsia" w:ascii="宋体" w:hAnsi="宋体" w:cs="宋体"/>
          <w:sz w:val="24"/>
        </w:rPr>
        <w:t>（招标采购单位名称）：</w:t>
      </w:r>
    </w:p>
    <w:p>
      <w:pPr>
        <w:snapToGrid w:val="0"/>
        <w:spacing w:before="156" w:beforeLines="50" w:after="50"/>
        <w:ind w:firstLine="720" w:firstLineChars="300"/>
        <w:rPr>
          <w:rFonts w:ascii="宋体" w:hAnsi="宋体" w:cs="宋体"/>
          <w:sz w:val="24"/>
          <w:szCs w:val="20"/>
        </w:rPr>
      </w:pPr>
      <w:r>
        <w:rPr>
          <w:rFonts w:hint="eastAsia" w:ascii="宋体" w:hAnsi="宋体" w:cs="宋体"/>
          <w:sz w:val="24"/>
        </w:rPr>
        <w:t>我</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 xml:space="preserve">（谈判响应方名称）的法定代表人，现授权委托本单位在职职工 </w:t>
      </w:r>
      <w:r>
        <w:rPr>
          <w:rFonts w:hint="eastAsia" w:ascii="宋体" w:hAnsi="宋体" w:cs="宋体"/>
          <w:sz w:val="24"/>
          <w:u w:val="single"/>
        </w:rPr>
        <w:t xml:space="preserve">              </w:t>
      </w:r>
      <w:r>
        <w:rPr>
          <w:rFonts w:hint="eastAsia" w:ascii="宋体" w:hAnsi="宋体" w:cs="宋体"/>
          <w:sz w:val="24"/>
        </w:rPr>
        <w:t>（姓名）以我方的名义参加</w:t>
      </w:r>
      <w:r>
        <w:rPr>
          <w:rFonts w:hint="eastAsia" w:ascii="宋体" w:hAnsi="宋体" w:cs="宋体"/>
          <w:sz w:val="24"/>
          <w:u w:val="single"/>
        </w:rPr>
        <w:t xml:space="preserve">          </w:t>
      </w:r>
      <w:r>
        <w:rPr>
          <w:rFonts w:hint="eastAsia" w:ascii="宋体" w:hAnsi="宋体" w:cs="宋体"/>
          <w:sz w:val="24"/>
        </w:rPr>
        <w:t>项目的投标活动，并代表我方全权办理针对上述项目的投标、开标、评标、签约等具体事务和签署相关文件。</w:t>
      </w:r>
    </w:p>
    <w:p>
      <w:pPr>
        <w:snapToGrid w:val="0"/>
        <w:spacing w:before="156" w:beforeLines="50" w:after="50"/>
        <w:rPr>
          <w:rFonts w:ascii="宋体" w:hAnsi="宋体" w:cs="宋体"/>
          <w:sz w:val="24"/>
          <w:szCs w:val="20"/>
        </w:rPr>
      </w:pPr>
      <w:r>
        <w:rPr>
          <w:rFonts w:hint="eastAsia" w:ascii="宋体" w:hAnsi="宋体" w:cs="宋体"/>
          <w:sz w:val="24"/>
        </w:rPr>
        <w:t xml:space="preserve">    我方对委托代理人的签名事项负全部责任。</w:t>
      </w:r>
    </w:p>
    <w:p>
      <w:pPr>
        <w:snapToGrid w:val="0"/>
        <w:spacing w:before="156" w:beforeLines="50" w:after="50"/>
        <w:ind w:firstLine="480"/>
        <w:rPr>
          <w:rFonts w:ascii="宋体" w:hAnsi="宋体" w:cs="宋体"/>
          <w:sz w:val="24"/>
          <w:szCs w:val="20"/>
        </w:rPr>
      </w:pPr>
      <w:r>
        <w:rPr>
          <w:rFonts w:hint="eastAsia" w:ascii="宋体" w:hAnsi="宋体" w:cs="宋体"/>
          <w:sz w:val="24"/>
          <w:u w:val="single"/>
        </w:rPr>
        <w:t>在撤销授权的书面通知以前，本授权书一直有效。</w:t>
      </w:r>
      <w:r>
        <w:rPr>
          <w:rFonts w:hint="eastAsia" w:ascii="宋体" w:hAnsi="宋体" w:cs="宋体"/>
          <w:sz w:val="24"/>
        </w:rPr>
        <w:t>委托代理人在授权书有效期内签署的所有文件不因授权的撤销而失效。</w:t>
      </w:r>
    </w:p>
    <w:p>
      <w:pPr>
        <w:snapToGrid w:val="0"/>
        <w:spacing w:before="156" w:beforeLines="50" w:after="50"/>
        <w:ind w:firstLine="480"/>
        <w:rPr>
          <w:rFonts w:ascii="宋体" w:hAnsi="宋体" w:cs="宋体"/>
          <w:sz w:val="24"/>
          <w:szCs w:val="20"/>
        </w:rPr>
      </w:pPr>
      <w:r>
        <w:rPr>
          <w:rFonts w:hint="eastAsia" w:ascii="宋体" w:hAnsi="宋体" w:cs="宋体"/>
          <w:sz w:val="24"/>
        </w:rPr>
        <w:t>委托代理人无转委托权，特此委托。</w:t>
      </w:r>
    </w:p>
    <w:p>
      <w:pPr>
        <w:snapToGrid w:val="0"/>
        <w:spacing w:before="156" w:beforeLines="50" w:after="50"/>
        <w:rPr>
          <w:rFonts w:ascii="宋体" w:hAnsi="宋体" w:cs="宋体"/>
          <w:sz w:val="24"/>
          <w:szCs w:val="20"/>
          <w:u w:val="single"/>
        </w:rPr>
      </w:pPr>
      <w:r>
        <w:rPr>
          <w:rFonts w:hint="eastAsia" w:ascii="宋体" w:hAnsi="宋体" w:cs="宋体"/>
          <w:sz w:val="24"/>
        </w:rPr>
        <w:t>委托代理人签名：</w:t>
      </w:r>
      <w:r>
        <w:rPr>
          <w:rFonts w:hint="eastAsia" w:ascii="宋体" w:hAnsi="宋体" w:cs="宋体"/>
          <w:sz w:val="24"/>
          <w:u w:val="single"/>
        </w:rPr>
        <w:t xml:space="preserve">          </w:t>
      </w:r>
      <w:r>
        <w:rPr>
          <w:rFonts w:hint="eastAsia" w:ascii="宋体" w:hAnsi="宋体" w:cs="宋体"/>
          <w:sz w:val="24"/>
        </w:rPr>
        <w:t xml:space="preserve">                 法定代表人（签字或盖章）：</w:t>
      </w:r>
      <w:r>
        <w:rPr>
          <w:rFonts w:hint="eastAsia" w:ascii="宋体" w:hAnsi="宋体" w:cs="宋体"/>
          <w:sz w:val="24"/>
          <w:u w:val="single"/>
        </w:rPr>
        <w:t xml:space="preserve">          </w:t>
      </w:r>
    </w:p>
    <w:p>
      <w:pPr>
        <w:snapToGrid w:val="0"/>
        <w:spacing w:before="156" w:beforeLines="50" w:after="50"/>
        <w:ind w:firstLine="960" w:firstLineChars="400"/>
        <w:rPr>
          <w:rFonts w:ascii="宋体" w:hAnsi="宋体" w:cs="宋体"/>
          <w:sz w:val="24"/>
          <w:szCs w:val="20"/>
        </w:rPr>
      </w:pPr>
      <w:r>
        <w:rPr>
          <w:rFonts w:hint="eastAsia" w:ascii="宋体" w:hAnsi="宋体" w:cs="宋体"/>
          <w:sz w:val="24"/>
        </w:rPr>
        <w:t>职务：</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p>
    <w:p>
      <w:pPr>
        <w:snapToGrid w:val="0"/>
        <w:spacing w:before="156" w:beforeLines="50" w:after="50"/>
        <w:rPr>
          <w:rFonts w:ascii="宋体" w:hAnsi="宋体" w:cs="宋体"/>
          <w:sz w:val="24"/>
        </w:rPr>
      </w:pPr>
      <w:r>
        <w:rPr>
          <w:rFonts w:hint="eastAsia" w:ascii="宋体" w:hAnsi="宋体" w:cs="宋体"/>
          <w:sz w:val="24"/>
        </w:rPr>
        <w:t>委托代理人身份证复印件（正反双面）：</w:t>
      </w:r>
    </w:p>
    <w:tbl>
      <w:tblPr>
        <w:tblStyle w:val="21"/>
        <w:tblpPr w:leftFromText="180" w:rightFromText="180" w:vertAnchor="text" w:tblpX="109" w:tblpY="151"/>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5298"/>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345" w:hRule="atLeast"/>
        </w:trPr>
        <w:tc>
          <w:tcPr>
            <w:tcW w:w="5298" w:type="dxa"/>
          </w:tcPr>
          <w:p>
            <w:pPr>
              <w:snapToGrid w:val="0"/>
              <w:spacing w:before="156" w:beforeLines="50" w:after="50"/>
              <w:rPr>
                <w:rFonts w:ascii="宋体" w:hAnsi="宋体" w:cs="宋体"/>
                <w:sz w:val="24"/>
              </w:rPr>
            </w:pPr>
          </w:p>
          <w:p>
            <w:pPr>
              <w:snapToGrid w:val="0"/>
              <w:spacing w:before="156" w:beforeLines="50" w:after="50"/>
              <w:rPr>
                <w:rFonts w:ascii="宋体" w:hAnsi="宋体" w:cs="宋体"/>
                <w:sz w:val="24"/>
              </w:rPr>
            </w:pPr>
          </w:p>
          <w:p>
            <w:pPr>
              <w:snapToGrid w:val="0"/>
              <w:spacing w:before="156" w:beforeLines="50" w:after="50"/>
              <w:rPr>
                <w:rFonts w:ascii="宋体" w:hAnsi="宋体" w:cs="宋体"/>
                <w:sz w:val="24"/>
              </w:rPr>
            </w:pPr>
          </w:p>
          <w:p>
            <w:pPr>
              <w:snapToGrid w:val="0"/>
              <w:spacing w:before="156" w:beforeLines="50" w:after="50"/>
              <w:jc w:val="center"/>
              <w:rPr>
                <w:rFonts w:ascii="宋体" w:hAnsi="宋体" w:cs="宋体"/>
                <w:sz w:val="48"/>
                <w:szCs w:val="48"/>
              </w:rPr>
            </w:pPr>
            <w:r>
              <w:rPr>
                <w:rFonts w:hint="eastAsia" w:ascii="宋体" w:hAnsi="宋体" w:cs="宋体"/>
                <w:sz w:val="48"/>
                <w:szCs w:val="48"/>
              </w:rPr>
              <w:t>粘</w:t>
            </w:r>
          </w:p>
          <w:p>
            <w:pPr>
              <w:snapToGrid w:val="0"/>
              <w:spacing w:before="156" w:beforeLines="50" w:after="50"/>
              <w:jc w:val="center"/>
              <w:rPr>
                <w:rFonts w:ascii="宋体" w:hAnsi="宋体" w:cs="宋体"/>
                <w:sz w:val="48"/>
                <w:szCs w:val="48"/>
              </w:rPr>
            </w:pPr>
          </w:p>
          <w:p>
            <w:pPr>
              <w:snapToGrid w:val="0"/>
              <w:spacing w:before="156" w:beforeLines="50" w:after="50"/>
              <w:jc w:val="center"/>
              <w:rPr>
                <w:rFonts w:ascii="宋体" w:hAnsi="宋体" w:cs="宋体"/>
                <w:sz w:val="48"/>
                <w:szCs w:val="48"/>
              </w:rPr>
            </w:pPr>
            <w:r>
              <w:rPr>
                <w:rFonts w:hint="eastAsia" w:ascii="宋体" w:hAnsi="宋体" w:cs="宋体"/>
                <w:sz w:val="48"/>
                <w:szCs w:val="48"/>
              </w:rPr>
              <w:t>贴</w:t>
            </w:r>
          </w:p>
          <w:p>
            <w:pPr>
              <w:snapToGrid w:val="0"/>
              <w:spacing w:before="156" w:beforeLines="50" w:after="50"/>
              <w:jc w:val="center"/>
              <w:rPr>
                <w:rFonts w:ascii="宋体" w:hAnsi="宋体" w:cs="宋体"/>
                <w:sz w:val="48"/>
                <w:szCs w:val="48"/>
              </w:rPr>
            </w:pPr>
          </w:p>
          <w:p>
            <w:pPr>
              <w:snapToGrid w:val="0"/>
              <w:spacing w:before="156" w:beforeLines="50" w:after="50"/>
              <w:jc w:val="center"/>
              <w:rPr>
                <w:rFonts w:ascii="宋体" w:hAnsi="宋体" w:cs="宋体"/>
                <w:sz w:val="36"/>
                <w:szCs w:val="36"/>
              </w:rPr>
            </w:pPr>
            <w:r>
              <w:rPr>
                <w:rFonts w:hint="eastAsia" w:ascii="宋体" w:hAnsi="宋体" w:cs="宋体"/>
                <w:sz w:val="48"/>
                <w:szCs w:val="48"/>
              </w:rPr>
              <w:t>处</w:t>
            </w:r>
          </w:p>
        </w:tc>
      </w:tr>
    </w:tbl>
    <w:p>
      <w:pPr>
        <w:snapToGrid w:val="0"/>
        <w:spacing w:before="156" w:beforeLines="50" w:after="50"/>
        <w:rPr>
          <w:rFonts w:ascii="宋体" w:hAnsi="宋体" w:cs="宋体"/>
          <w:sz w:val="24"/>
        </w:rPr>
      </w:pPr>
    </w:p>
    <w:p>
      <w:pPr>
        <w:snapToGrid w:val="0"/>
        <w:spacing w:before="156" w:beforeLines="50" w:after="50"/>
        <w:rPr>
          <w:rFonts w:ascii="宋体" w:hAnsi="宋体" w:cs="宋体"/>
          <w:sz w:val="24"/>
        </w:rPr>
      </w:pPr>
    </w:p>
    <w:p>
      <w:pPr>
        <w:snapToGrid w:val="0"/>
        <w:spacing w:before="156" w:beforeLines="50" w:after="50"/>
        <w:rPr>
          <w:rFonts w:ascii="宋体" w:hAnsi="宋体" w:cs="宋体"/>
          <w:sz w:val="24"/>
        </w:rPr>
      </w:pPr>
      <w:r>
        <w:rPr>
          <w:rFonts w:hint="eastAsia" w:ascii="宋体" w:hAnsi="宋体" w:cs="宋体"/>
          <w:sz w:val="24"/>
        </w:rPr>
        <w:t xml:space="preserve"> </w:t>
      </w:r>
    </w:p>
    <w:p>
      <w:pPr>
        <w:snapToGrid w:val="0"/>
        <w:spacing w:before="156" w:beforeLines="50" w:after="50"/>
        <w:rPr>
          <w:rFonts w:ascii="宋体" w:hAnsi="宋体" w:cs="宋体"/>
          <w:sz w:val="24"/>
          <w:szCs w:val="20"/>
        </w:rPr>
      </w:pPr>
    </w:p>
    <w:p>
      <w:pPr>
        <w:snapToGrid w:val="0"/>
        <w:spacing w:before="156" w:beforeLines="50" w:after="50"/>
        <w:rPr>
          <w:rFonts w:ascii="宋体" w:hAnsi="宋体" w:cs="宋体"/>
          <w:sz w:val="24"/>
        </w:rPr>
      </w:pPr>
      <w:r>
        <w:rPr>
          <w:rFonts w:hint="eastAsia" w:ascii="宋体" w:hAnsi="宋体" w:cs="宋体"/>
          <w:sz w:val="24"/>
        </w:rPr>
        <w:t xml:space="preserve">                                                </w:t>
      </w:r>
    </w:p>
    <w:p>
      <w:pPr>
        <w:snapToGrid w:val="0"/>
        <w:spacing w:before="156" w:beforeLines="50" w:after="50"/>
        <w:rPr>
          <w:rFonts w:ascii="宋体" w:hAnsi="宋体" w:cs="宋体"/>
          <w:sz w:val="24"/>
        </w:rPr>
      </w:pPr>
    </w:p>
    <w:p>
      <w:pPr>
        <w:snapToGrid w:val="0"/>
        <w:spacing w:before="156" w:beforeLines="50" w:after="50"/>
        <w:rPr>
          <w:rFonts w:ascii="宋体" w:hAnsi="宋体" w:cs="宋体"/>
          <w:sz w:val="24"/>
        </w:rPr>
      </w:pPr>
    </w:p>
    <w:p>
      <w:pPr>
        <w:snapToGrid w:val="0"/>
        <w:spacing w:before="156" w:beforeLines="50" w:after="50"/>
        <w:rPr>
          <w:rFonts w:ascii="宋体" w:hAnsi="宋体" w:cs="宋体"/>
          <w:sz w:val="24"/>
        </w:rPr>
      </w:pPr>
    </w:p>
    <w:p>
      <w:pPr>
        <w:snapToGrid w:val="0"/>
        <w:spacing w:before="156" w:beforeLines="50" w:after="50"/>
        <w:rPr>
          <w:rFonts w:ascii="宋体" w:hAnsi="宋体" w:cs="宋体"/>
          <w:sz w:val="24"/>
        </w:rPr>
      </w:pPr>
    </w:p>
    <w:p>
      <w:pPr>
        <w:snapToGrid w:val="0"/>
        <w:spacing w:before="156" w:beforeLines="50" w:after="50"/>
        <w:rPr>
          <w:rFonts w:ascii="宋体" w:hAnsi="宋体" w:cs="宋体"/>
          <w:sz w:val="24"/>
        </w:rPr>
      </w:pPr>
    </w:p>
    <w:p>
      <w:pPr>
        <w:snapToGrid w:val="0"/>
        <w:spacing w:before="156" w:beforeLines="50" w:after="50"/>
        <w:ind w:firstLine="600" w:firstLineChars="250"/>
        <w:rPr>
          <w:rFonts w:ascii="宋体" w:hAnsi="宋体" w:cs="宋体"/>
          <w:sz w:val="24"/>
          <w:szCs w:val="20"/>
        </w:rPr>
      </w:pPr>
      <w:r>
        <w:rPr>
          <w:rFonts w:hint="eastAsia" w:ascii="宋体" w:hAnsi="宋体" w:cs="宋体"/>
          <w:sz w:val="24"/>
        </w:rPr>
        <w:t>谈判响应方公章：</w:t>
      </w:r>
    </w:p>
    <w:p>
      <w:pPr>
        <w:snapToGrid w:val="0"/>
        <w:spacing w:before="156" w:beforeLines="50" w:after="50"/>
        <w:jc w:val="center"/>
        <w:rPr>
          <w:rFonts w:ascii="宋体" w:hAnsi="宋体" w:cs="宋体"/>
          <w:sz w:val="24"/>
          <w:szCs w:val="20"/>
        </w:rPr>
      </w:pPr>
      <w:r>
        <w:rPr>
          <w:rFonts w:hint="eastAsia" w:ascii="宋体" w:hAnsi="宋体" w:cs="宋体"/>
          <w:sz w:val="24"/>
        </w:rPr>
        <w:t xml:space="preserve">                                                年    月    日</w:t>
      </w:r>
    </w:p>
    <w:p>
      <w:pPr>
        <w:snapToGrid w:val="0"/>
        <w:spacing w:before="156" w:beforeLines="50" w:after="50"/>
        <w:rPr>
          <w:rFonts w:ascii="宋体" w:hAnsi="宋体" w:cs="宋体"/>
          <w:sz w:val="24"/>
        </w:rPr>
      </w:pPr>
    </w:p>
    <w:p>
      <w:pPr>
        <w:snapToGrid w:val="0"/>
        <w:spacing w:before="156" w:beforeLines="50" w:after="50"/>
        <w:rPr>
          <w:rFonts w:ascii="宋体" w:hAnsi="宋体" w:cs="宋体"/>
          <w:sz w:val="24"/>
        </w:rPr>
      </w:pPr>
    </w:p>
    <w:p>
      <w:pPr>
        <w:rPr>
          <w:rFonts w:ascii="宋体" w:hAnsi="宋体" w:cs="宋体"/>
          <w:b/>
          <w:sz w:val="24"/>
        </w:rPr>
      </w:pPr>
      <w:r>
        <w:rPr>
          <w:rFonts w:hint="eastAsia" w:ascii="宋体" w:hAnsi="宋体" w:cs="宋体"/>
          <w:b/>
          <w:sz w:val="24"/>
        </w:rPr>
        <w:t>*注；此表格格式不得修改。</w:t>
      </w:r>
    </w:p>
    <w:p>
      <w:pPr>
        <w:pStyle w:val="3"/>
        <w:rPr>
          <w:rFonts w:ascii="宋体" w:hAnsi="宋体" w:cs="宋体"/>
          <w:b/>
          <w:sz w:val="24"/>
        </w:rPr>
      </w:pPr>
    </w:p>
    <w:p>
      <w:pPr>
        <w:pageBreakBefore/>
        <w:overflowPunct w:val="0"/>
        <w:autoSpaceDE w:val="0"/>
        <w:autoSpaceDN w:val="0"/>
        <w:adjustRightInd w:val="0"/>
        <w:jc w:val="left"/>
        <w:textAlignment w:val="baseline"/>
        <w:outlineLvl w:val="1"/>
        <w:rPr>
          <w:rFonts w:ascii="宋体" w:hAnsi="宋体" w:cs="宋体"/>
          <w:bCs/>
          <w:kern w:val="0"/>
          <w:sz w:val="24"/>
          <w:szCs w:val="21"/>
        </w:rPr>
      </w:pPr>
      <w:bookmarkStart w:id="16" w:name="_Toc8594"/>
      <w:bookmarkStart w:id="17" w:name="_Toc13816"/>
      <w:r>
        <w:rPr>
          <w:rFonts w:hint="eastAsia" w:ascii="宋体" w:hAnsi="宋体" w:cs="宋体"/>
          <w:bCs/>
          <w:kern w:val="0"/>
          <w:sz w:val="24"/>
          <w:szCs w:val="21"/>
        </w:rPr>
        <w:t>附件四：</w:t>
      </w:r>
      <w:bookmarkEnd w:id="16"/>
      <w:r>
        <w:rPr>
          <w:rFonts w:hint="eastAsia" w:ascii="宋体" w:hAnsi="宋体" w:cs="宋体"/>
          <w:bCs/>
          <w:kern w:val="0"/>
          <w:sz w:val="24"/>
          <w:szCs w:val="21"/>
        </w:rPr>
        <w:t>诚信承诺书</w:t>
      </w:r>
      <w:bookmarkEnd w:id="17"/>
    </w:p>
    <w:p>
      <w:pPr>
        <w:jc w:val="center"/>
        <w:rPr>
          <w:rFonts w:ascii="宋体" w:hAnsi="宋体" w:cs="宋体"/>
          <w:b/>
          <w:bCs/>
          <w:sz w:val="44"/>
          <w:szCs w:val="44"/>
        </w:rPr>
      </w:pPr>
    </w:p>
    <w:p>
      <w:pPr>
        <w:snapToGrid w:val="0"/>
        <w:spacing w:before="50" w:after="50" w:line="360" w:lineRule="auto"/>
        <w:jc w:val="center"/>
        <w:rPr>
          <w:rFonts w:ascii="宋体" w:hAnsi="宋体"/>
          <w:b/>
          <w:sz w:val="32"/>
          <w:szCs w:val="28"/>
        </w:rPr>
      </w:pPr>
      <w:r>
        <w:rPr>
          <w:rFonts w:hint="eastAsia" w:ascii="宋体" w:hAnsi="宋体"/>
          <w:b/>
          <w:sz w:val="32"/>
          <w:szCs w:val="28"/>
        </w:rPr>
        <w:t>诚信承诺书</w:t>
      </w:r>
    </w:p>
    <w:p>
      <w:pPr>
        <w:spacing w:line="360" w:lineRule="auto"/>
        <w:jc w:val="center"/>
        <w:rPr>
          <w:rFonts w:ascii="宋体" w:hAnsi="宋体"/>
          <w:sz w:val="28"/>
          <w:szCs w:val="28"/>
        </w:rPr>
      </w:pPr>
    </w:p>
    <w:p>
      <w:pPr>
        <w:spacing w:line="360" w:lineRule="auto"/>
        <w:rPr>
          <w:rFonts w:ascii="宋体" w:hAnsi="宋体"/>
          <w:sz w:val="24"/>
        </w:rPr>
      </w:pPr>
      <w:r>
        <w:rPr>
          <w:rFonts w:hint="eastAsia" w:ascii="宋体" w:hAnsi="宋体"/>
          <w:sz w:val="24"/>
          <w:u w:val="single"/>
        </w:rPr>
        <w:t xml:space="preserve">浙江广厦建设职业技术大学  </w:t>
      </w:r>
      <w:r>
        <w:rPr>
          <w:rFonts w:hint="eastAsia" w:ascii="宋体" w:hAnsi="宋体"/>
          <w:sz w:val="24"/>
        </w:rPr>
        <w:t>：</w:t>
      </w:r>
    </w:p>
    <w:p>
      <w:pPr>
        <w:spacing w:line="360" w:lineRule="auto"/>
        <w:ind w:left="479" w:leftChars="228"/>
        <w:rPr>
          <w:rFonts w:ascii="宋体" w:hAnsi="宋体"/>
          <w:sz w:val="24"/>
        </w:rPr>
      </w:pPr>
      <w:r>
        <w:rPr>
          <w:rFonts w:hint="eastAsia" w:ascii="宋体" w:hAnsi="宋体"/>
          <w:sz w:val="24"/>
        </w:rPr>
        <w:t>我方在参加贵单位的（项目编号）＿＿＿＿＿＿（项目名称）＿＿＿＿＿＿项目（标项名称）＿＿＿＿＿ 的招标活动中，郑重承诺如下：</w:t>
      </w:r>
    </w:p>
    <w:p>
      <w:pPr>
        <w:spacing w:line="360" w:lineRule="auto"/>
        <w:ind w:firstLine="480" w:firstLineChars="200"/>
        <w:rPr>
          <w:rFonts w:ascii="宋体" w:hAnsi="宋体"/>
          <w:sz w:val="24"/>
        </w:rPr>
      </w:pPr>
      <w:r>
        <w:rPr>
          <w:rFonts w:hint="eastAsia" w:ascii="宋体" w:hAnsi="宋体"/>
          <w:sz w:val="24"/>
        </w:rPr>
        <w:t>1、我方申报的所有资料都是真实、准确、完整的；</w:t>
      </w:r>
    </w:p>
    <w:p>
      <w:pPr>
        <w:spacing w:line="360" w:lineRule="auto"/>
        <w:ind w:firstLine="480" w:firstLineChars="200"/>
        <w:rPr>
          <w:rFonts w:ascii="宋体" w:hAnsi="宋体"/>
          <w:sz w:val="24"/>
        </w:rPr>
      </w:pPr>
      <w:r>
        <w:rPr>
          <w:rFonts w:hint="eastAsia" w:ascii="宋体" w:hAnsi="宋体"/>
          <w:sz w:val="24"/>
        </w:rPr>
        <w:t>2、我方无资质挂靠情形，保证不参与串通投标、抬高投标价格；</w:t>
      </w:r>
    </w:p>
    <w:p>
      <w:pPr>
        <w:spacing w:line="360" w:lineRule="auto"/>
        <w:ind w:firstLine="480" w:firstLineChars="200"/>
        <w:rPr>
          <w:rFonts w:ascii="宋体" w:hAnsi="宋体"/>
          <w:sz w:val="24"/>
        </w:rPr>
      </w:pPr>
      <w:r>
        <w:rPr>
          <w:rFonts w:hint="eastAsia" w:ascii="宋体" w:hAnsi="宋体"/>
          <w:sz w:val="24"/>
        </w:rPr>
        <w:t>3、我方未处于被各级行政主管部门做出停止市场行为处罚的期限内；</w:t>
      </w:r>
    </w:p>
    <w:p>
      <w:pPr>
        <w:spacing w:line="360" w:lineRule="auto"/>
        <w:ind w:firstLine="480" w:firstLineChars="200"/>
        <w:rPr>
          <w:rFonts w:ascii="宋体" w:hAnsi="宋体"/>
          <w:sz w:val="24"/>
        </w:rPr>
      </w:pPr>
      <w:r>
        <w:rPr>
          <w:rFonts w:hint="eastAsia" w:ascii="宋体" w:hAnsi="宋体"/>
          <w:sz w:val="24"/>
        </w:rPr>
        <w:t>4、我方参加本项目招标活动前3年内在经营活动中没有重大违法记录；</w:t>
      </w:r>
    </w:p>
    <w:p>
      <w:pPr>
        <w:spacing w:line="360" w:lineRule="auto"/>
        <w:ind w:firstLine="480" w:firstLineChars="200"/>
        <w:rPr>
          <w:rFonts w:ascii="宋体" w:hAnsi="宋体"/>
          <w:sz w:val="24"/>
        </w:rPr>
      </w:pPr>
      <w:r>
        <w:rPr>
          <w:rFonts w:hint="eastAsia" w:ascii="宋体" w:hAnsi="宋体"/>
          <w:sz w:val="24"/>
        </w:rPr>
        <w:t>5、若我方成为成交供应商，将严格按照规定及时与业主签订合同；</w:t>
      </w:r>
    </w:p>
    <w:p>
      <w:pPr>
        <w:spacing w:line="360" w:lineRule="auto"/>
        <w:ind w:firstLine="482" w:firstLineChars="200"/>
        <w:rPr>
          <w:rFonts w:ascii="宋体" w:hAnsi="宋体"/>
          <w:b/>
          <w:bCs/>
          <w:sz w:val="24"/>
        </w:rPr>
      </w:pPr>
      <w:r>
        <w:rPr>
          <w:rFonts w:hint="eastAsia" w:ascii="宋体" w:hAnsi="宋体"/>
          <w:b/>
          <w:bCs/>
          <w:sz w:val="24"/>
        </w:rPr>
        <w:t>6、若我方成为成交供应商，将严格按照招标文件技术要求及我司响应文件承诺的质量、供货时间、报价、投标方案等内容组织实施；</w:t>
      </w:r>
    </w:p>
    <w:p>
      <w:pPr>
        <w:spacing w:line="360" w:lineRule="auto"/>
        <w:ind w:firstLine="480" w:firstLineChars="200"/>
        <w:rPr>
          <w:rFonts w:ascii="宋体" w:hAnsi="宋体"/>
          <w:sz w:val="24"/>
        </w:rPr>
      </w:pPr>
      <w:r>
        <w:rPr>
          <w:rFonts w:hint="eastAsia" w:ascii="宋体" w:hAnsi="宋体"/>
          <w:sz w:val="24"/>
        </w:rPr>
        <w:t>我方若违反上述承诺，隐瞒、提供虚假资料或不按招标文件要求组织实施或参与串通投标、抬高投标价格等行为，被贵方发现或被他人举报查实，无条件接受采购人、行政监管部门作出的取消招标资格、成交资格、解除合同、拒绝后续招标，并自愿被列入不良行为记录、不守信用黑名单、政府采购黑名单等的处罚。对造成的损失，任何法律和经济责任完全由我司负责。</w:t>
      </w:r>
    </w:p>
    <w:p>
      <w:pPr>
        <w:spacing w:line="360" w:lineRule="auto"/>
        <w:ind w:firstLine="480" w:firstLineChars="200"/>
        <w:rPr>
          <w:rFonts w:ascii="宋体" w:hAnsi="宋体"/>
          <w:sz w:val="24"/>
        </w:rPr>
      </w:pPr>
      <w:r>
        <w:rPr>
          <w:rFonts w:hint="eastAsia" w:ascii="宋体" w:hAnsi="宋体"/>
          <w:sz w:val="24"/>
        </w:rPr>
        <w:t>特此承诺。</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napToGrid w:val="0"/>
        <w:spacing w:before="50" w:after="50"/>
        <w:ind w:left="-2" w:leftChars="-1" w:right="-817" w:rightChars="-389" w:firstLine="360" w:firstLineChars="150"/>
        <w:rPr>
          <w:rFonts w:ascii="宋体" w:hAnsi="宋体"/>
          <w:sz w:val="24"/>
        </w:rPr>
      </w:pPr>
      <w:r>
        <w:rPr>
          <w:rFonts w:hint="eastAsia" w:ascii="宋体" w:hAnsi="宋体"/>
          <w:sz w:val="24"/>
        </w:rPr>
        <w:t>法定代表人或委托代理人（签字或盖章）：</w:t>
      </w:r>
    </w:p>
    <w:p>
      <w:pPr>
        <w:snapToGrid w:val="0"/>
        <w:spacing w:before="50" w:after="50"/>
        <w:ind w:left="-2" w:leftChars="-1" w:right="-817" w:rightChars="-389" w:firstLine="360" w:firstLineChars="150"/>
        <w:rPr>
          <w:rFonts w:ascii="宋体" w:hAnsi="宋体"/>
          <w:sz w:val="24"/>
        </w:rPr>
      </w:pPr>
    </w:p>
    <w:p>
      <w:pPr>
        <w:snapToGrid w:val="0"/>
        <w:spacing w:before="50" w:after="50"/>
        <w:ind w:right="-817" w:rightChars="-389" w:firstLine="360" w:firstLineChars="150"/>
        <w:rPr>
          <w:rFonts w:ascii="宋体" w:hAnsi="宋体"/>
          <w:sz w:val="24"/>
        </w:rPr>
      </w:pPr>
      <w:r>
        <w:rPr>
          <w:rFonts w:hint="eastAsia" w:ascii="宋体" w:hAnsi="宋体"/>
          <w:sz w:val="24"/>
        </w:rPr>
        <w:t xml:space="preserve">投标人名称（盖章）：                                         </w:t>
      </w:r>
    </w:p>
    <w:p>
      <w:pPr>
        <w:snapToGrid w:val="0"/>
        <w:spacing w:before="50" w:after="50"/>
        <w:ind w:right="-817" w:rightChars="-389"/>
        <w:rPr>
          <w:rFonts w:ascii="宋体" w:hAnsi="宋体"/>
          <w:sz w:val="24"/>
        </w:rPr>
      </w:pPr>
    </w:p>
    <w:p>
      <w:pPr>
        <w:pStyle w:val="19"/>
        <w:ind w:firstLine="5760" w:firstLineChars="2400"/>
        <w:rPr>
          <w:rFonts w:ascii="宋体" w:hAnsi="宋体"/>
          <w:sz w:val="24"/>
        </w:rPr>
      </w:pPr>
      <w:r>
        <w:rPr>
          <w:rFonts w:hint="eastAsia" w:ascii="宋体" w:hAnsi="宋体"/>
          <w:sz w:val="24"/>
        </w:rPr>
        <w:t>日期：    年   月   日</w:t>
      </w:r>
    </w:p>
    <w:p>
      <w:pPr>
        <w:rPr>
          <w:rFonts w:ascii="宋体" w:hAnsi="宋体"/>
          <w:sz w:val="24"/>
        </w:rPr>
      </w:pPr>
    </w:p>
    <w:p>
      <w:pPr>
        <w:pStyle w:val="3"/>
        <w:rPr>
          <w:rFonts w:ascii="宋体" w:hAnsi="宋体"/>
          <w:sz w:val="24"/>
        </w:rPr>
      </w:pPr>
    </w:p>
    <w:p>
      <w:pPr>
        <w:pStyle w:val="31"/>
        <w:rPr>
          <w:rFonts w:ascii="宋体" w:hAnsi="宋体"/>
          <w:sz w:val="24"/>
        </w:rPr>
      </w:pPr>
    </w:p>
    <w:p>
      <w:pPr>
        <w:pStyle w:val="5"/>
        <w:rPr>
          <w:rFonts w:hAnsi="宋体"/>
          <w:b w:val="0"/>
          <w:sz w:val="24"/>
        </w:rPr>
      </w:pPr>
      <w:r>
        <w:rPr>
          <w:rFonts w:hint="eastAsia" w:hAnsi="宋体"/>
          <w:b w:val="0"/>
          <w:sz w:val="24"/>
        </w:rPr>
        <w:t>附件五 商务、技术响应表</w:t>
      </w:r>
    </w:p>
    <w:p>
      <w:pPr>
        <w:jc w:val="center"/>
        <w:rPr>
          <w:rFonts w:ascii="宋体" w:hAnsi="宋体"/>
          <w:b/>
          <w:sz w:val="30"/>
          <w:szCs w:val="30"/>
        </w:rPr>
      </w:pPr>
      <w:r>
        <w:rPr>
          <w:rFonts w:hint="eastAsia" w:ascii="宋体" w:hAnsi="宋体"/>
          <w:b/>
          <w:sz w:val="30"/>
          <w:szCs w:val="30"/>
        </w:rPr>
        <w:t>商务、技术响应表</w:t>
      </w:r>
    </w:p>
    <w:p>
      <w:pPr>
        <w:snapToGrid w:val="0"/>
        <w:spacing w:before="50" w:after="156" w:afterLines="50"/>
        <w:jc w:val="left"/>
        <w:rPr>
          <w:rFonts w:ascii="宋体" w:hAnsi="宋体"/>
          <w:sz w:val="24"/>
          <w:szCs w:val="20"/>
        </w:rPr>
      </w:pPr>
      <w:r>
        <w:rPr>
          <w:rFonts w:hint="eastAsia" w:ascii="宋体" w:hAnsi="宋体"/>
        </w:rPr>
        <w:t>谈判编号：</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903"/>
        <w:gridCol w:w="2008"/>
        <w:gridCol w:w="1663"/>
        <w:gridCol w:w="2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jc w:val="center"/>
        </w:trPr>
        <w:tc>
          <w:tcPr>
            <w:tcW w:w="9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序号</w:t>
            </w:r>
          </w:p>
        </w:tc>
        <w:tc>
          <w:tcPr>
            <w:tcW w:w="19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内  容</w:t>
            </w:r>
          </w:p>
        </w:tc>
        <w:tc>
          <w:tcPr>
            <w:tcW w:w="20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谈判文件</w:t>
            </w:r>
          </w:p>
          <w:p>
            <w:pPr>
              <w:jc w:val="center"/>
              <w:rPr>
                <w:rFonts w:ascii="宋体" w:hAnsi="宋体"/>
                <w:sz w:val="24"/>
              </w:rPr>
            </w:pPr>
            <w:r>
              <w:rPr>
                <w:rFonts w:hint="eastAsia" w:ascii="宋体" w:hAnsi="宋体"/>
                <w:sz w:val="24"/>
              </w:rPr>
              <w:t>规范要求</w:t>
            </w:r>
          </w:p>
        </w:tc>
        <w:tc>
          <w:tcPr>
            <w:tcW w:w="16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谈判响应文件</w:t>
            </w:r>
          </w:p>
          <w:p>
            <w:pPr>
              <w:jc w:val="center"/>
              <w:rPr>
                <w:rFonts w:ascii="宋体" w:hAnsi="宋体"/>
                <w:sz w:val="24"/>
              </w:rPr>
            </w:pPr>
            <w:r>
              <w:rPr>
                <w:rFonts w:hint="eastAsia" w:ascii="宋体" w:hAnsi="宋体"/>
                <w:sz w:val="24"/>
              </w:rPr>
              <w:t>对应规范</w:t>
            </w:r>
          </w:p>
        </w:tc>
        <w:tc>
          <w:tcPr>
            <w:tcW w:w="23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偏离情况</w:t>
            </w:r>
          </w:p>
          <w:p>
            <w:pPr>
              <w:jc w:val="center"/>
              <w:rPr>
                <w:rFonts w:ascii="宋体" w:hAnsi="宋体"/>
                <w:sz w:val="24"/>
              </w:rPr>
            </w:pPr>
            <w:r>
              <w:rPr>
                <w:rFonts w:hint="eastAsia" w:ascii="宋体" w:hAnsi="宋体"/>
                <w:sz w:val="24"/>
              </w:rPr>
              <w:t>（注明正偏离、负偏离或无偏离）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1" w:type="dxa"/>
            <w:tcBorders>
              <w:top w:val="single" w:color="auto" w:sz="4" w:space="0"/>
              <w:left w:val="single" w:color="auto" w:sz="4" w:space="0"/>
              <w:bottom w:val="single" w:color="auto" w:sz="4" w:space="0"/>
              <w:right w:val="single" w:color="auto" w:sz="4" w:space="0"/>
            </w:tcBorders>
          </w:tcPr>
          <w:p>
            <w:pPr>
              <w:jc w:val="center"/>
              <w:rPr>
                <w:rFonts w:ascii="宋体" w:hAnsi="宋体"/>
                <w:sz w:val="24"/>
              </w:rPr>
            </w:pPr>
          </w:p>
        </w:tc>
        <w:tc>
          <w:tcPr>
            <w:tcW w:w="190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2008"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66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2389"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01"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90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2008"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66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2389"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901"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90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2008"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66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2389"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901"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90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2008"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66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2389"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901"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90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2008"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66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2389"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901"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90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2008"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66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2389"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901"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90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2008"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66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2389"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901"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90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2008"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66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2389"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01"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90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2008"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66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2389"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901"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90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2008"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66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2389"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901"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90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2008"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66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2389"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901"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90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2008"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166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2389"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r>
    </w:tbl>
    <w:p>
      <w:pPr>
        <w:snapToGrid w:val="0"/>
        <w:spacing w:before="50" w:after="50"/>
        <w:rPr>
          <w:rFonts w:ascii="宋体" w:hAnsi="宋体"/>
          <w:b/>
          <w:bCs/>
          <w:sz w:val="24"/>
          <w:szCs w:val="20"/>
        </w:rPr>
      </w:pPr>
    </w:p>
    <w:p>
      <w:pPr>
        <w:snapToGrid w:val="0"/>
        <w:spacing w:before="50" w:after="50"/>
        <w:rPr>
          <w:rFonts w:ascii="宋体" w:hAnsi="宋体"/>
          <w:b/>
          <w:bCs/>
          <w:spacing w:val="20"/>
          <w:sz w:val="24"/>
          <w:szCs w:val="20"/>
        </w:rPr>
      </w:pPr>
      <w:r>
        <w:rPr>
          <w:rFonts w:hint="eastAsia" w:ascii="宋体" w:hAnsi="宋体"/>
          <w:b/>
          <w:bCs/>
          <w:sz w:val="24"/>
          <w:szCs w:val="20"/>
        </w:rPr>
        <w:t>注：谈判响应方应根据投谈判项目的性能指标、对照竞争性谈判文件要求在“偏离情况”栏注明“正偏离”、“负偏离”或“无偏离”。</w:t>
      </w:r>
    </w:p>
    <w:p>
      <w:pPr>
        <w:snapToGrid w:val="0"/>
        <w:spacing w:before="50" w:after="50"/>
        <w:rPr>
          <w:rFonts w:ascii="宋体" w:hAnsi="宋体"/>
          <w:spacing w:val="20"/>
          <w:sz w:val="24"/>
        </w:rPr>
      </w:pPr>
    </w:p>
    <w:p>
      <w:pPr>
        <w:snapToGrid w:val="0"/>
        <w:spacing w:before="50" w:after="50"/>
        <w:rPr>
          <w:rFonts w:ascii="宋体" w:hAnsi="宋体"/>
          <w:spacing w:val="20"/>
          <w:sz w:val="24"/>
          <w:szCs w:val="20"/>
          <w:u w:val="single"/>
        </w:rPr>
      </w:pPr>
      <w:r>
        <w:rPr>
          <w:rFonts w:hint="eastAsia" w:ascii="宋体" w:hAnsi="宋体"/>
          <w:sz w:val="24"/>
        </w:rPr>
        <w:t>法定代表人或委托代理人签字</w:t>
      </w:r>
      <w:r>
        <w:rPr>
          <w:rFonts w:hint="eastAsia" w:ascii="宋体" w:hAnsi="宋体"/>
          <w:spacing w:val="20"/>
          <w:sz w:val="24"/>
        </w:rPr>
        <w:t>：</w:t>
      </w:r>
      <w:r>
        <w:rPr>
          <w:rFonts w:hint="eastAsia" w:ascii="宋体" w:hAnsi="宋体"/>
          <w:spacing w:val="20"/>
          <w:sz w:val="24"/>
          <w:u w:val="single"/>
        </w:rPr>
        <w:t xml:space="preserve">        </w:t>
      </w:r>
    </w:p>
    <w:p>
      <w:pPr>
        <w:snapToGrid w:val="0"/>
        <w:spacing w:before="50" w:after="50"/>
        <w:rPr>
          <w:rFonts w:ascii="宋体" w:hAnsi="宋体"/>
          <w:sz w:val="24"/>
          <w:szCs w:val="20"/>
        </w:rPr>
      </w:pPr>
      <w:r>
        <w:rPr>
          <w:rFonts w:hint="eastAsia" w:ascii="宋体" w:hAnsi="宋体"/>
          <w:spacing w:val="20"/>
          <w:sz w:val="24"/>
        </w:rPr>
        <w:t>谈判响应方盖章：</w:t>
      </w:r>
      <w:r>
        <w:rPr>
          <w:rFonts w:hint="eastAsia" w:ascii="宋体" w:hAnsi="宋体"/>
          <w:spacing w:val="20"/>
          <w:sz w:val="24"/>
          <w:u w:val="single"/>
        </w:rPr>
        <w:t xml:space="preserve">            </w:t>
      </w:r>
      <w:r>
        <w:rPr>
          <w:rFonts w:hint="eastAsia" w:ascii="宋体" w:hAnsi="宋体"/>
          <w:spacing w:val="20"/>
          <w:sz w:val="24"/>
        </w:rPr>
        <w:t xml:space="preserve">              日 期：</w:t>
      </w:r>
      <w:r>
        <w:rPr>
          <w:rFonts w:hint="eastAsia" w:ascii="宋体" w:hAnsi="宋体"/>
          <w:spacing w:val="20"/>
          <w:sz w:val="24"/>
          <w:u w:val="single"/>
        </w:rPr>
        <w:t xml:space="preserve">            </w:t>
      </w:r>
    </w:p>
    <w:p>
      <w:pPr>
        <w:spacing w:line="360" w:lineRule="auto"/>
        <w:rPr>
          <w:rFonts w:ascii="宋体" w:hAnsi="宋体"/>
        </w:rPr>
      </w:pPr>
    </w:p>
    <w:p>
      <w:pPr>
        <w:pStyle w:val="10"/>
        <w:spacing w:line="480" w:lineRule="auto"/>
        <w:rPr>
          <w:rFonts w:hAnsi="宋体"/>
        </w:rPr>
      </w:pPr>
    </w:p>
    <w:p>
      <w:pPr>
        <w:pStyle w:val="10"/>
        <w:spacing w:line="480" w:lineRule="auto"/>
        <w:rPr>
          <w:rFonts w:hAnsi="宋体"/>
        </w:rPr>
      </w:pPr>
    </w:p>
    <w:p>
      <w:pPr>
        <w:pStyle w:val="20"/>
        <w:ind w:left="0" w:leftChars="0" w:firstLine="0" w:firstLineChars="0"/>
        <w:rPr>
          <w:sz w:val="24"/>
          <w:highlight w:val="green"/>
        </w:rPr>
      </w:pPr>
    </w:p>
    <w:sectPr>
      <w:headerReference r:id="rId3" w:type="default"/>
      <w:footerReference r:id="rId4" w:type="default"/>
      <w:pgSz w:w="11906" w:h="16838"/>
      <w:pgMar w:top="873" w:right="1418" w:bottom="420" w:left="1418" w:header="851" w:footer="992"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A00002EF" w:usb1="4000204B" w:usb2="00000000" w:usb3="00000000" w:csb0="200000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Helvetica;Aria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仿宋">
    <w:altName w:val="仿宋"/>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5153"/>
        <w:tab w:val="right" w:pos="9190"/>
      </w:tabs>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r>
      <w:rPr>
        <w:rFonts w:hint="eastAsia"/>
      </w:rPr>
      <w:tab/>
    </w:r>
    <w:r>
      <w:rPr>
        <w:rFonts w:hint="eastAsia"/>
      </w:rPr>
      <w:tab/>
    </w:r>
    <w:r>
      <w:rPr>
        <w:rFonts w:hint="eastAsia"/>
      </w:rPr>
      <w:t xml:space="preserve">      浙江广厦建设职业技术大学</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rFonts w:ascii="宋体" w:hAnsi="宋体" w:cs="宋体"/>
        <w:bCs/>
        <w:szCs w:val="18"/>
      </w:rPr>
    </w:pPr>
    <w:r>
      <w:rPr>
        <w:rFonts w:hint="eastAsia" w:ascii="宋体" w:hAnsi="宋体" w:cs="宋体"/>
        <w:bCs/>
        <w:szCs w:val="18"/>
      </w:rPr>
      <w:t>浙江广厦建设职业技术大学移动式垃圾压缩机</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chineseCountingThousand"/>
      <w:lvlText w:val="%1、"/>
      <w:lvlJc w:val="left"/>
      <w:pPr>
        <w:tabs>
          <w:tab w:val="left" w:pos="0"/>
        </w:tabs>
        <w:ind w:left="720" w:hanging="720"/>
      </w:pPr>
      <w:rPr>
        <w:rFonts w:cs="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
    <w:nsid w:val="CF092B84"/>
    <w:multiLevelType w:val="multilevel"/>
    <w:tmpl w:val="CF092B84"/>
    <w:lvl w:ilvl="0" w:tentative="0">
      <w:start w:val="1"/>
      <w:numFmt w:val="chineseCountingThousand"/>
      <w:pStyle w:val="43"/>
      <w:lvlText w:val="第%1章"/>
      <w:lvlJc w:val="left"/>
      <w:pPr>
        <w:tabs>
          <w:tab w:val="left" w:pos="0"/>
        </w:tabs>
        <w:ind w:left="1440" w:hanging="1275"/>
      </w:pPr>
    </w:lvl>
    <w:lvl w:ilvl="1" w:tentative="0">
      <w:start w:val="1"/>
      <w:numFmt w:val="chineseCountingThousand"/>
      <w:lvlText w:val="%2、"/>
      <w:lvlJc w:val="left"/>
      <w:pPr>
        <w:tabs>
          <w:tab w:val="left" w:pos="0"/>
        </w:tabs>
        <w:ind w:left="1305" w:hanging="720"/>
      </w:pPr>
    </w:lvl>
    <w:lvl w:ilvl="2" w:tentative="0">
      <w:start w:val="1"/>
      <w:numFmt w:val="decimal"/>
      <w:lvlText w:val="%3."/>
      <w:lvlJc w:val="left"/>
      <w:pPr>
        <w:tabs>
          <w:tab w:val="left" w:pos="0"/>
        </w:tabs>
        <w:ind w:left="2160" w:hanging="360"/>
      </w:pPr>
    </w:lvl>
    <w:lvl w:ilvl="3" w:tentative="0">
      <w:start w:val="1"/>
      <w:numFmt w:val="decimal"/>
      <w:lvlText w:val="%4."/>
      <w:lvlJc w:val="left"/>
      <w:pPr>
        <w:tabs>
          <w:tab w:val="left" w:pos="0"/>
        </w:tabs>
        <w:ind w:left="2880" w:hanging="360"/>
      </w:pPr>
    </w:lvl>
    <w:lvl w:ilvl="4" w:tentative="0">
      <w:start w:val="1"/>
      <w:numFmt w:val="decimal"/>
      <w:lvlText w:val="%5."/>
      <w:lvlJc w:val="left"/>
      <w:pPr>
        <w:tabs>
          <w:tab w:val="left" w:pos="0"/>
        </w:tabs>
        <w:ind w:left="3600" w:hanging="360"/>
      </w:pPr>
    </w:lvl>
    <w:lvl w:ilvl="5" w:tentative="0">
      <w:start w:val="1"/>
      <w:numFmt w:val="decimal"/>
      <w:lvlText w:val="%6."/>
      <w:lvlJc w:val="left"/>
      <w:pPr>
        <w:tabs>
          <w:tab w:val="left" w:pos="0"/>
        </w:tabs>
        <w:ind w:left="4320" w:hanging="360"/>
      </w:pPr>
    </w:lvl>
    <w:lvl w:ilvl="6" w:tentative="0">
      <w:start w:val="1"/>
      <w:numFmt w:val="decimal"/>
      <w:lvlText w:val="%7."/>
      <w:lvlJc w:val="left"/>
      <w:pPr>
        <w:tabs>
          <w:tab w:val="left" w:pos="0"/>
        </w:tabs>
        <w:ind w:left="5040" w:hanging="360"/>
      </w:pPr>
    </w:lvl>
    <w:lvl w:ilvl="7" w:tentative="0">
      <w:start w:val="1"/>
      <w:numFmt w:val="decimal"/>
      <w:lvlText w:val="%8."/>
      <w:lvlJc w:val="left"/>
      <w:pPr>
        <w:tabs>
          <w:tab w:val="left" w:pos="0"/>
        </w:tabs>
        <w:ind w:left="5760" w:hanging="360"/>
      </w:pPr>
    </w:lvl>
    <w:lvl w:ilvl="8" w:tentative="0">
      <w:start w:val="1"/>
      <w:numFmt w:val="decimal"/>
      <w:lvlText w:val="%9."/>
      <w:lvlJc w:val="left"/>
      <w:pPr>
        <w:tabs>
          <w:tab w:val="left" w:pos="0"/>
        </w:tabs>
        <w:ind w:left="6480" w:hanging="360"/>
      </w:pPr>
    </w:lvl>
  </w:abstractNum>
  <w:abstractNum w:abstractNumId="2">
    <w:nsid w:val="D165B68D"/>
    <w:multiLevelType w:val="singleLevel"/>
    <w:tmpl w:val="D165B68D"/>
    <w:lvl w:ilvl="0" w:tentative="0">
      <w:start w:val="1"/>
      <w:numFmt w:val="decimal"/>
      <w:suff w:val="nothing"/>
      <w:lvlText w:val="（%1）"/>
      <w:lvlJc w:val="left"/>
    </w:lvl>
  </w:abstractNum>
  <w:abstractNum w:abstractNumId="3">
    <w:nsid w:val="0053208E"/>
    <w:multiLevelType w:val="multilevel"/>
    <w:tmpl w:val="0053208E"/>
    <w:lvl w:ilvl="0" w:tentative="0">
      <w:start w:val="1"/>
      <w:numFmt w:val="none"/>
      <w:suff w:val="nothing"/>
      <w:lvlText w:val=""/>
      <w:lvlJc w:val="left"/>
      <w:pPr>
        <w:tabs>
          <w:tab w:val="left" w:pos="0"/>
        </w:tabs>
        <w:ind w:left="0" w:firstLine="0"/>
      </w:pPr>
    </w:lvl>
    <w:lvl w:ilvl="1" w:tentative="0">
      <w:start w:val="1"/>
      <w:numFmt w:val="none"/>
      <w:pStyle w:val="5"/>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4">
    <w:nsid w:val="18F94E63"/>
    <w:multiLevelType w:val="multilevel"/>
    <w:tmpl w:val="18F94E63"/>
    <w:lvl w:ilvl="0" w:tentative="0">
      <w:start w:val="5"/>
      <w:numFmt w:val="japaneseCounting"/>
      <w:lvlText w:val="%1、"/>
      <w:lvlJc w:val="left"/>
      <w:pPr>
        <w:ind w:left="510" w:hanging="510"/>
      </w:pPr>
      <w:rPr>
        <w:rFonts w:hint="default"/>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21B8A4A"/>
    <w:multiLevelType w:val="singleLevel"/>
    <w:tmpl w:val="321B8A4A"/>
    <w:lvl w:ilvl="0" w:tentative="0">
      <w:start w:val="2"/>
      <w:numFmt w:val="chineseCounting"/>
      <w:suff w:val="nothing"/>
      <w:lvlText w:val="%1、"/>
      <w:lvlJc w:val="left"/>
      <w:rPr>
        <w:rFonts w:hint="eastAsia"/>
      </w:rPr>
    </w:lvl>
  </w:abstractNum>
  <w:abstractNum w:abstractNumId="6">
    <w:nsid w:val="4718142E"/>
    <w:multiLevelType w:val="singleLevel"/>
    <w:tmpl w:val="4718142E"/>
    <w:lvl w:ilvl="0" w:tentative="0">
      <w:start w:val="4"/>
      <w:numFmt w:val="chineseCounting"/>
      <w:suff w:val="nothing"/>
      <w:lvlText w:val="%1、"/>
      <w:lvlJc w:val="left"/>
      <w:rPr>
        <w:rFonts w:hint="eastAsia"/>
      </w:rPr>
    </w:lvl>
  </w:abstractNum>
  <w:num w:numId="1">
    <w:abstractNumId w:val="3"/>
  </w:num>
  <w:num w:numId="2">
    <w:abstractNumId w:val="1"/>
  </w:num>
  <w:num w:numId="3">
    <w:abstractNumId w:val="0"/>
  </w:num>
  <w:num w:numId="4">
    <w:abstractNumId w:val="5"/>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autoHyphenation/>
  <w:noPunctuationKerning w:val="1"/>
  <w:characterSpacingControl w:val="doNotCompress"/>
  <w:compat>
    <w:noLeading/>
    <w:balanceSingleByteDoubleByteWidth/>
    <w:doNotExpandShiftReturn/>
    <w:doNotWrapTextWithPunct/>
    <w:doNotUseEastAsianBreakRules/>
    <w:useFELayout/>
    <w:doNotUseIndentAsNumberingTabStop/>
    <w:useAltKinsokuLineBreakRules/>
    <w:compatSetting w:name="compatibilityMode" w:uri="http://schemas.microsoft.com/office/word" w:val="14"/>
  </w:compat>
  <w:rsids>
    <w:rsidRoot w:val="00AB525C"/>
    <w:rsid w:val="000F0840"/>
    <w:rsid w:val="001038F1"/>
    <w:rsid w:val="001335F1"/>
    <w:rsid w:val="00140989"/>
    <w:rsid w:val="00172710"/>
    <w:rsid w:val="002C0B7F"/>
    <w:rsid w:val="00404D7B"/>
    <w:rsid w:val="0044434B"/>
    <w:rsid w:val="004600A6"/>
    <w:rsid w:val="00495CCC"/>
    <w:rsid w:val="004A50B8"/>
    <w:rsid w:val="00516087"/>
    <w:rsid w:val="005D4645"/>
    <w:rsid w:val="00661D11"/>
    <w:rsid w:val="0066414E"/>
    <w:rsid w:val="00712491"/>
    <w:rsid w:val="00917156"/>
    <w:rsid w:val="00AB525C"/>
    <w:rsid w:val="00AC2F47"/>
    <w:rsid w:val="00E05901"/>
    <w:rsid w:val="02EC77A7"/>
    <w:rsid w:val="03E25F14"/>
    <w:rsid w:val="03F62FB3"/>
    <w:rsid w:val="0607278D"/>
    <w:rsid w:val="06262432"/>
    <w:rsid w:val="06994A8B"/>
    <w:rsid w:val="07A75AFD"/>
    <w:rsid w:val="080E29B4"/>
    <w:rsid w:val="087E24E7"/>
    <w:rsid w:val="08B22B4C"/>
    <w:rsid w:val="08DD30AA"/>
    <w:rsid w:val="08F604F5"/>
    <w:rsid w:val="0E264489"/>
    <w:rsid w:val="0EA571D7"/>
    <w:rsid w:val="107065E4"/>
    <w:rsid w:val="11A1117F"/>
    <w:rsid w:val="123A7E2C"/>
    <w:rsid w:val="13930594"/>
    <w:rsid w:val="13B7478A"/>
    <w:rsid w:val="15104DA4"/>
    <w:rsid w:val="15341D4B"/>
    <w:rsid w:val="156A7E8D"/>
    <w:rsid w:val="16437974"/>
    <w:rsid w:val="1727267F"/>
    <w:rsid w:val="17B13E58"/>
    <w:rsid w:val="195D345D"/>
    <w:rsid w:val="19991978"/>
    <w:rsid w:val="1B7C360D"/>
    <w:rsid w:val="1C9F4B75"/>
    <w:rsid w:val="1CC7020F"/>
    <w:rsid w:val="1D80679D"/>
    <w:rsid w:val="1E274ADE"/>
    <w:rsid w:val="1EA164C8"/>
    <w:rsid w:val="1F5E4560"/>
    <w:rsid w:val="202E5912"/>
    <w:rsid w:val="207B1F35"/>
    <w:rsid w:val="21856A19"/>
    <w:rsid w:val="222E0510"/>
    <w:rsid w:val="23C24978"/>
    <w:rsid w:val="240336D4"/>
    <w:rsid w:val="25A67063"/>
    <w:rsid w:val="25B070BC"/>
    <w:rsid w:val="260F192D"/>
    <w:rsid w:val="26732D02"/>
    <w:rsid w:val="26876432"/>
    <w:rsid w:val="26CE6C89"/>
    <w:rsid w:val="27362170"/>
    <w:rsid w:val="275736F7"/>
    <w:rsid w:val="279039A4"/>
    <w:rsid w:val="27C30177"/>
    <w:rsid w:val="27F16527"/>
    <w:rsid w:val="281B7DC5"/>
    <w:rsid w:val="28B64D0A"/>
    <w:rsid w:val="28C67585"/>
    <w:rsid w:val="2909567C"/>
    <w:rsid w:val="2967574D"/>
    <w:rsid w:val="2A0F5AD0"/>
    <w:rsid w:val="2A870A34"/>
    <w:rsid w:val="2AC4440C"/>
    <w:rsid w:val="2ACE0B4F"/>
    <w:rsid w:val="2BAB6B62"/>
    <w:rsid w:val="2CD4195A"/>
    <w:rsid w:val="2D062237"/>
    <w:rsid w:val="2DC42306"/>
    <w:rsid w:val="2F7D7FF1"/>
    <w:rsid w:val="30944267"/>
    <w:rsid w:val="31752E4D"/>
    <w:rsid w:val="32A759F3"/>
    <w:rsid w:val="33E35B95"/>
    <w:rsid w:val="34243802"/>
    <w:rsid w:val="348B567A"/>
    <w:rsid w:val="34C41D8A"/>
    <w:rsid w:val="3664336C"/>
    <w:rsid w:val="36657AD7"/>
    <w:rsid w:val="36DC3F1E"/>
    <w:rsid w:val="37321B4E"/>
    <w:rsid w:val="37E0408E"/>
    <w:rsid w:val="384F2405"/>
    <w:rsid w:val="38544A02"/>
    <w:rsid w:val="3AC94E4D"/>
    <w:rsid w:val="3B2A1FFC"/>
    <w:rsid w:val="3BB32189"/>
    <w:rsid w:val="3C322F73"/>
    <w:rsid w:val="3CAE7382"/>
    <w:rsid w:val="3CBB3FD0"/>
    <w:rsid w:val="3D924E50"/>
    <w:rsid w:val="3E0C1DEE"/>
    <w:rsid w:val="3EBF7D89"/>
    <w:rsid w:val="3F320ADA"/>
    <w:rsid w:val="40410C71"/>
    <w:rsid w:val="40641F26"/>
    <w:rsid w:val="406B7C25"/>
    <w:rsid w:val="41143098"/>
    <w:rsid w:val="41770D1F"/>
    <w:rsid w:val="420C2899"/>
    <w:rsid w:val="432A674E"/>
    <w:rsid w:val="436D6006"/>
    <w:rsid w:val="453F61B2"/>
    <w:rsid w:val="461A60FE"/>
    <w:rsid w:val="46A47C03"/>
    <w:rsid w:val="470656AA"/>
    <w:rsid w:val="49D861A9"/>
    <w:rsid w:val="4A650F9C"/>
    <w:rsid w:val="4C144BF7"/>
    <w:rsid w:val="4D48462C"/>
    <w:rsid w:val="4D53269F"/>
    <w:rsid w:val="4D9E1705"/>
    <w:rsid w:val="4DC74482"/>
    <w:rsid w:val="4FC64531"/>
    <w:rsid w:val="50AE14AA"/>
    <w:rsid w:val="517972C1"/>
    <w:rsid w:val="51B422A0"/>
    <w:rsid w:val="51D96160"/>
    <w:rsid w:val="55B4367E"/>
    <w:rsid w:val="561D19DF"/>
    <w:rsid w:val="562016BC"/>
    <w:rsid w:val="56694B42"/>
    <w:rsid w:val="56781A8E"/>
    <w:rsid w:val="573F5A2A"/>
    <w:rsid w:val="579B1375"/>
    <w:rsid w:val="59526A20"/>
    <w:rsid w:val="597518A3"/>
    <w:rsid w:val="5A0A2AC3"/>
    <w:rsid w:val="5A2669CA"/>
    <w:rsid w:val="5B6675FA"/>
    <w:rsid w:val="5BCD3B74"/>
    <w:rsid w:val="5C776A62"/>
    <w:rsid w:val="5CB67F6A"/>
    <w:rsid w:val="5CC23FE3"/>
    <w:rsid w:val="5E806EE0"/>
    <w:rsid w:val="5FED28BF"/>
    <w:rsid w:val="604D7A4F"/>
    <w:rsid w:val="62772DA0"/>
    <w:rsid w:val="629D7845"/>
    <w:rsid w:val="63A5738E"/>
    <w:rsid w:val="63B73291"/>
    <w:rsid w:val="64BA42BC"/>
    <w:rsid w:val="685456D9"/>
    <w:rsid w:val="68FE5017"/>
    <w:rsid w:val="693D3BA7"/>
    <w:rsid w:val="6ADF4048"/>
    <w:rsid w:val="6BAB719E"/>
    <w:rsid w:val="6BBD79A5"/>
    <w:rsid w:val="6BCE69E9"/>
    <w:rsid w:val="6DC557E0"/>
    <w:rsid w:val="6E773C97"/>
    <w:rsid w:val="6F763185"/>
    <w:rsid w:val="6F8B5E21"/>
    <w:rsid w:val="6FE03FA5"/>
    <w:rsid w:val="70162DF4"/>
    <w:rsid w:val="70FD057C"/>
    <w:rsid w:val="71D8791D"/>
    <w:rsid w:val="721B7640"/>
    <w:rsid w:val="741B2627"/>
    <w:rsid w:val="74C8662B"/>
    <w:rsid w:val="74CC3216"/>
    <w:rsid w:val="75852AD2"/>
    <w:rsid w:val="75B57076"/>
    <w:rsid w:val="773B142A"/>
    <w:rsid w:val="77E77217"/>
    <w:rsid w:val="789611F7"/>
    <w:rsid w:val="78CC7108"/>
    <w:rsid w:val="7A533772"/>
    <w:rsid w:val="7A554D40"/>
    <w:rsid w:val="7CB56E62"/>
    <w:rsid w:val="7D360A94"/>
    <w:rsid w:val="7DE02261"/>
    <w:rsid w:val="7FF12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numPr>
        <w:ilvl w:val="1"/>
        <w:numId w:val="1"/>
      </w:numPr>
      <w:spacing w:before="260" w:after="260" w:line="415" w:lineRule="auto"/>
      <w:outlineLvl w:val="1"/>
    </w:pPr>
    <w:rPr>
      <w:rFonts w:ascii="Cambria" w:hAnsi="Cambria" w:cs="Cambria"/>
      <w:b/>
      <w:bCs/>
      <w:sz w:val="32"/>
      <w:szCs w:val="32"/>
    </w:rPr>
  </w:style>
  <w:style w:type="paragraph" w:styleId="6">
    <w:name w:val="heading 6"/>
    <w:basedOn w:val="1"/>
    <w:next w:val="1"/>
    <w:qFormat/>
    <w:uiPriority w:val="0"/>
    <w:pPr>
      <w:keepNext/>
      <w:keepLines/>
      <w:spacing w:before="240" w:after="64" w:line="312" w:lineRule="auto"/>
      <w:outlineLvl w:val="5"/>
    </w:pPr>
    <w:rPr>
      <w:rFonts w:ascii="Arial" w:hAnsi="Arial" w:eastAsia="黑体"/>
      <w:b/>
      <w:sz w:val="24"/>
    </w:rPr>
  </w:style>
  <w:style w:type="character" w:default="1" w:styleId="22">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pPr>
    <w:rPr>
      <w:szCs w:val="20"/>
    </w:rPr>
  </w:style>
  <w:style w:type="paragraph" w:styleId="3">
    <w:name w:val="Body Text"/>
    <w:basedOn w:val="1"/>
    <w:next w:val="1"/>
    <w:qFormat/>
    <w:uiPriority w:val="0"/>
    <w:pPr>
      <w:spacing w:after="120"/>
    </w:pPr>
    <w:rPr>
      <w:sz w:val="28"/>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List Bullet 3"/>
    <w:basedOn w:val="1"/>
    <w:qFormat/>
    <w:uiPriority w:val="0"/>
    <w:pPr>
      <w:ind w:hanging="200"/>
    </w:pPr>
    <w:rPr>
      <w:sz w:val="28"/>
    </w:rPr>
  </w:style>
  <w:style w:type="paragraph" w:styleId="9">
    <w:name w:val="Body Text Indent"/>
    <w:basedOn w:val="1"/>
    <w:next w:val="2"/>
    <w:qFormat/>
    <w:uiPriority w:val="0"/>
    <w:pPr>
      <w:spacing w:line="200" w:lineRule="exact"/>
      <w:ind w:firstLine="301"/>
    </w:pPr>
    <w:rPr>
      <w:rFonts w:ascii="宋体" w:hAnsi="宋体" w:cs="Courier New"/>
      <w:spacing w:val="-4"/>
      <w:sz w:val="18"/>
      <w:szCs w:val="20"/>
    </w:rPr>
  </w:style>
  <w:style w:type="paragraph" w:styleId="10">
    <w:name w:val="Plain Text"/>
    <w:basedOn w:val="1"/>
    <w:next w:val="1"/>
    <w:qFormat/>
    <w:uiPriority w:val="0"/>
    <w:pPr>
      <w:spacing w:before="156" w:beforeLines="50" w:after="156" w:afterLines="50" w:line="400" w:lineRule="exact"/>
    </w:pPr>
    <w:rPr>
      <w:rFonts w:ascii="宋体" w:hAnsi="Courier New"/>
      <w:sz w:val="24"/>
    </w:rPr>
  </w:style>
  <w:style w:type="paragraph" w:styleId="11">
    <w:name w:val="Date"/>
    <w:basedOn w:val="1"/>
    <w:next w:val="1"/>
    <w:qFormat/>
    <w:uiPriority w:val="0"/>
    <w:pPr>
      <w:ind w:left="2500" w:leftChars="2500"/>
    </w:pPr>
    <w:rPr>
      <w:rFonts w:eastAsia="楷体_GB2312"/>
      <w:sz w:val="32"/>
      <w:szCs w:val="2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0"/>
  </w:style>
  <w:style w:type="paragraph" w:styleId="15">
    <w:name w:val="footnote text"/>
    <w:basedOn w:val="1"/>
    <w:qFormat/>
    <w:uiPriority w:val="0"/>
    <w:pPr>
      <w:jc w:val="left"/>
    </w:pPr>
    <w:rPr>
      <w:kern w:val="1"/>
      <w:sz w:val="18"/>
    </w:rPr>
  </w:style>
  <w:style w:type="paragraph" w:styleId="16">
    <w:name w:val="toc 6"/>
    <w:basedOn w:val="1"/>
    <w:next w:val="1"/>
    <w:qFormat/>
    <w:uiPriority w:val="0"/>
    <w:pPr>
      <w:ind w:left="2100"/>
    </w:pPr>
  </w:style>
  <w:style w:type="paragraph" w:styleId="17">
    <w:name w:val="toc 2"/>
    <w:basedOn w:val="1"/>
    <w:next w:val="1"/>
    <w:qFormat/>
    <w:uiPriority w:val="0"/>
    <w:pPr>
      <w:ind w:left="420"/>
    </w:pPr>
  </w:style>
  <w:style w:type="paragraph" w:styleId="18">
    <w:name w:val="Normal (Web)"/>
    <w:basedOn w:val="1"/>
    <w:qFormat/>
    <w:uiPriority w:val="0"/>
    <w:pPr>
      <w:spacing w:after="150"/>
      <w:jc w:val="left"/>
    </w:pPr>
    <w:rPr>
      <w:kern w:val="0"/>
      <w:sz w:val="24"/>
    </w:rPr>
  </w:style>
  <w:style w:type="paragraph" w:styleId="19">
    <w:name w:val="Body Text First Indent"/>
    <w:basedOn w:val="1"/>
    <w:next w:val="1"/>
    <w:qFormat/>
    <w:uiPriority w:val="0"/>
    <w:pPr>
      <w:ind w:firstLine="420" w:firstLineChars="100"/>
    </w:pPr>
  </w:style>
  <w:style w:type="paragraph" w:styleId="20">
    <w:name w:val="Body Text First Indent 2"/>
    <w:basedOn w:val="9"/>
    <w:qFormat/>
    <w:uiPriority w:val="99"/>
    <w:pPr>
      <w:spacing w:after="120" w:line="240" w:lineRule="auto"/>
      <w:ind w:left="420" w:leftChars="200" w:firstLine="420" w:firstLineChars="200"/>
    </w:pPr>
    <w:rPr>
      <w:sz w:val="21"/>
      <w:szCs w:val="24"/>
    </w:rPr>
  </w:style>
  <w:style w:type="character" w:styleId="23">
    <w:name w:val="Strong"/>
    <w:basedOn w:val="22"/>
    <w:qFormat/>
    <w:uiPriority w:val="0"/>
    <w:rPr>
      <w:b/>
      <w:bCs/>
    </w:rPr>
  </w:style>
  <w:style w:type="character" w:styleId="24">
    <w:name w:val="page number"/>
    <w:qFormat/>
    <w:uiPriority w:val="0"/>
  </w:style>
  <w:style w:type="character" w:styleId="25">
    <w:name w:val="FollowedHyperlink"/>
    <w:basedOn w:val="22"/>
    <w:qFormat/>
    <w:uiPriority w:val="0"/>
    <w:rPr>
      <w:color w:val="222222"/>
      <w:u w:val="none"/>
    </w:rPr>
  </w:style>
  <w:style w:type="character" w:styleId="26">
    <w:name w:val="HTML Definition"/>
    <w:basedOn w:val="22"/>
    <w:qFormat/>
    <w:uiPriority w:val="0"/>
    <w:rPr>
      <w:i/>
      <w:iCs/>
    </w:rPr>
  </w:style>
  <w:style w:type="character" w:styleId="27">
    <w:name w:val="Hyperlink"/>
    <w:basedOn w:val="22"/>
    <w:qFormat/>
    <w:uiPriority w:val="0"/>
    <w:rPr>
      <w:color w:val="222222"/>
      <w:u w:val="none"/>
    </w:rPr>
  </w:style>
  <w:style w:type="character" w:styleId="28">
    <w:name w:val="HTML Code"/>
    <w:basedOn w:val="22"/>
    <w:qFormat/>
    <w:uiPriority w:val="0"/>
    <w:rPr>
      <w:rFonts w:hint="default" w:ascii="Consolas" w:hAnsi="Consolas" w:eastAsia="Consolas" w:cs="Consolas"/>
      <w:color w:val="C7254E"/>
      <w:sz w:val="21"/>
      <w:szCs w:val="21"/>
      <w:shd w:val="clear" w:color="auto" w:fill="F9F2F4"/>
    </w:rPr>
  </w:style>
  <w:style w:type="character" w:styleId="29">
    <w:name w:val="HTML Keyboard"/>
    <w:basedOn w:val="22"/>
    <w:qFormat/>
    <w:uiPriority w:val="0"/>
    <w:rPr>
      <w:rFonts w:ascii="Consolas" w:hAnsi="Consolas" w:eastAsia="Consolas" w:cs="Consolas"/>
      <w:color w:val="FFFFFF"/>
      <w:sz w:val="21"/>
      <w:szCs w:val="21"/>
      <w:shd w:val="clear" w:color="auto" w:fill="333333"/>
    </w:rPr>
  </w:style>
  <w:style w:type="character" w:styleId="30">
    <w:name w:val="HTML Sample"/>
    <w:basedOn w:val="22"/>
    <w:qFormat/>
    <w:uiPriority w:val="0"/>
    <w:rPr>
      <w:rFonts w:hint="default" w:ascii="Consolas" w:hAnsi="Consolas" w:eastAsia="Consolas" w:cs="Consolas"/>
      <w:sz w:val="21"/>
      <w:szCs w:val="21"/>
    </w:rPr>
  </w:style>
  <w:style w:type="paragraph" w:customStyle="1" w:styleId="31">
    <w:name w:val="样式 表格正文 + 两端对齐"/>
    <w:basedOn w:val="1"/>
    <w:next w:val="32"/>
    <w:qFormat/>
    <w:uiPriority w:val="0"/>
    <w:pPr>
      <w:spacing w:line="300" w:lineRule="auto"/>
    </w:pPr>
  </w:style>
  <w:style w:type="paragraph" w:customStyle="1" w:styleId="32">
    <w:name w:val="正文1"/>
    <w:basedOn w:val="1"/>
    <w:qFormat/>
    <w:uiPriority w:val="99"/>
    <w:pPr>
      <w:widowControl/>
      <w:overflowPunct w:val="0"/>
      <w:autoSpaceDE w:val="0"/>
      <w:autoSpaceDN w:val="0"/>
      <w:adjustRightInd w:val="0"/>
      <w:spacing w:line="400" w:lineRule="exact"/>
      <w:textAlignment w:val="baseline"/>
    </w:pPr>
    <w:rPr>
      <w:kern w:val="0"/>
      <w:sz w:val="24"/>
      <w:szCs w:val="20"/>
    </w:rPr>
  </w:style>
  <w:style w:type="paragraph" w:customStyle="1" w:styleId="33">
    <w:name w:val="正文首行缩进2字符"/>
    <w:basedOn w:val="1"/>
    <w:qFormat/>
    <w:uiPriority w:val="99"/>
    <w:pPr>
      <w:spacing w:line="360" w:lineRule="auto"/>
      <w:ind w:firstLine="200" w:firstLineChars="200"/>
    </w:pPr>
    <w:rPr>
      <w:rFonts w:ascii="Calibri" w:hAnsi="Calibri" w:eastAsia="仿宋_GB2312"/>
      <w:kern w:val="0"/>
      <w:sz w:val="28"/>
      <w:szCs w:val="21"/>
    </w:rPr>
  </w:style>
  <w:style w:type="paragraph" w:customStyle="1" w:styleId="34">
    <w:name w:val="章正文"/>
    <w:basedOn w:val="1"/>
    <w:qFormat/>
    <w:uiPriority w:val="0"/>
    <w:pPr>
      <w:spacing w:after="120" w:line="300" w:lineRule="auto"/>
      <w:ind w:firstLine="480"/>
    </w:pPr>
    <w:rPr>
      <w:rFonts w:ascii="Helvetica;Arial" w:hAnsi="Helvetica;Arial" w:cs="Helvetica;Arial"/>
      <w:kern w:val="0"/>
    </w:rPr>
  </w:style>
  <w:style w:type="paragraph" w:customStyle="1" w:styleId="35">
    <w:name w:val="正文首行缩进 21"/>
    <w:basedOn w:val="9"/>
    <w:qFormat/>
    <w:uiPriority w:val="0"/>
    <w:pPr>
      <w:spacing w:after="120" w:line="240" w:lineRule="auto"/>
      <w:ind w:left="420" w:firstLine="420"/>
    </w:pPr>
    <w:rPr>
      <w:sz w:val="21"/>
      <w:szCs w:val="24"/>
    </w:rPr>
  </w:style>
  <w:style w:type="paragraph" w:customStyle="1" w:styleId="36">
    <w:name w:val="正文首行缩进1"/>
    <w:basedOn w:val="3"/>
    <w:next w:val="16"/>
    <w:qFormat/>
    <w:uiPriority w:val="0"/>
    <w:pPr>
      <w:ind w:firstLine="420"/>
    </w:pPr>
    <w:rPr>
      <w:rFonts w:ascii="Arial" w:hAnsi="Arial" w:cs="Arial"/>
    </w:rPr>
  </w:style>
  <w:style w:type="character" w:customStyle="1" w:styleId="37">
    <w:name w:val="标题 2 Char1"/>
    <w:qFormat/>
    <w:uiPriority w:val="0"/>
    <w:rPr>
      <w:rFonts w:ascii="Arial" w:hAnsi="Arial" w:eastAsia="宋体" w:cs="Times New Roman"/>
      <w:b/>
      <w:bCs/>
      <w:sz w:val="28"/>
      <w:szCs w:val="32"/>
    </w:rPr>
  </w:style>
  <w:style w:type="character" w:customStyle="1" w:styleId="38">
    <w:name w:val="页码1"/>
    <w:qFormat/>
    <w:uiPriority w:val="0"/>
  </w:style>
  <w:style w:type="character" w:customStyle="1" w:styleId="39">
    <w:name w:val="标题 2 字符"/>
    <w:qFormat/>
    <w:uiPriority w:val="0"/>
    <w:rPr>
      <w:rFonts w:ascii="Cambria" w:hAnsi="Cambria" w:eastAsia="宋体" w:cs="Times New Roman"/>
      <w:b/>
      <w:bCs/>
      <w:kern w:val="2"/>
      <w:sz w:val="32"/>
      <w:szCs w:val="32"/>
    </w:rPr>
  </w:style>
  <w:style w:type="character" w:customStyle="1" w:styleId="40">
    <w:name w:val="font11"/>
    <w:qFormat/>
    <w:uiPriority w:val="0"/>
    <w:rPr>
      <w:rFonts w:ascii="Times New Roman" w:hAnsi="Times New Roman" w:cs="Times New Roman"/>
      <w:color w:val="000000"/>
      <w:sz w:val="24"/>
      <w:szCs w:val="24"/>
      <w:u w:val="none"/>
    </w:rPr>
  </w:style>
  <w:style w:type="character" w:customStyle="1" w:styleId="41">
    <w:name w:val="font31"/>
    <w:qFormat/>
    <w:uiPriority w:val="0"/>
    <w:rPr>
      <w:rFonts w:ascii="宋体" w:hAnsi="宋体" w:eastAsia="宋体" w:cs="宋体"/>
      <w:color w:val="000000"/>
      <w:sz w:val="24"/>
      <w:szCs w:val="24"/>
      <w:u w:val="none"/>
      <w:vertAlign w:val="superscript"/>
    </w:rPr>
  </w:style>
  <w:style w:type="character" w:customStyle="1" w:styleId="42">
    <w:name w:val="NormalCharacter"/>
    <w:qFormat/>
    <w:uiPriority w:val="0"/>
  </w:style>
  <w:style w:type="paragraph" w:customStyle="1" w:styleId="43">
    <w:name w:val="列表编号1"/>
    <w:basedOn w:val="1"/>
    <w:qFormat/>
    <w:uiPriority w:val="0"/>
    <w:pPr>
      <w:widowControl/>
      <w:numPr>
        <w:ilvl w:val="0"/>
        <w:numId w:val="2"/>
      </w:numPr>
      <w:tabs>
        <w:tab w:val="left" w:pos="454"/>
        <w:tab w:val="left" w:pos="720"/>
      </w:tabs>
      <w:spacing w:after="156"/>
      <w:ind w:left="1354" w:hanging="284"/>
      <w:jc w:val="left"/>
    </w:pPr>
    <w:rPr>
      <w:kern w:val="0"/>
      <w:sz w:val="24"/>
      <w:szCs w:val="20"/>
    </w:rPr>
  </w:style>
  <w:style w:type="paragraph" w:customStyle="1" w:styleId="44">
    <w:name w:val="纯文本1"/>
    <w:basedOn w:val="1"/>
    <w:next w:val="1"/>
    <w:qFormat/>
    <w:uiPriority w:val="0"/>
    <w:pPr>
      <w:spacing w:before="156" w:after="156" w:line="400" w:lineRule="exact"/>
    </w:pPr>
    <w:rPr>
      <w:rFonts w:ascii="宋体" w:hAnsi="宋体" w:cs="Courier New"/>
      <w:sz w:val="24"/>
    </w:rPr>
  </w:style>
  <w:style w:type="paragraph" w:customStyle="1" w:styleId="45">
    <w:name w:val="正文文本缩进 31"/>
    <w:basedOn w:val="1"/>
    <w:qFormat/>
    <w:uiPriority w:val="0"/>
    <w:pPr>
      <w:snapToGrid w:val="0"/>
      <w:ind w:firstLine="480"/>
      <w:jc w:val="left"/>
    </w:pPr>
    <w:rPr>
      <w:rFonts w:ascii="仿宋_GB2312;仿宋" w:hAnsi="仿宋_GB2312;仿宋" w:eastAsia="仿宋_GB2312;仿宋" w:cs="宋体"/>
      <w:color w:val="000000"/>
      <w:sz w:val="24"/>
    </w:rPr>
  </w:style>
  <w:style w:type="paragraph" w:customStyle="1" w:styleId="46">
    <w:name w:val="默认段落字体 Para Char Char Char Char Char Char Char Char Char1 Char Char Char Char"/>
    <w:basedOn w:val="1"/>
    <w:qFormat/>
    <w:uiPriority w:val="0"/>
    <w:rPr>
      <w:rFonts w:ascii="Tahoma" w:hAnsi="Tahoma" w:cs="Tahoma"/>
      <w:sz w:val="24"/>
      <w:szCs w:val="20"/>
    </w:rPr>
  </w:style>
  <w:style w:type="paragraph" w:styleId="47">
    <w:name w:val="List Paragraph"/>
    <w:basedOn w:val="1"/>
    <w:qFormat/>
    <w:uiPriority w:val="99"/>
    <w:pPr>
      <w:ind w:firstLine="420" w:firstLineChars="200"/>
    </w:pPr>
  </w:style>
  <w:style w:type="character" w:customStyle="1" w:styleId="48">
    <w:name w:val="font41"/>
    <w:basedOn w:val="22"/>
    <w:qFormat/>
    <w:uiPriority w:val="0"/>
    <w:rPr>
      <w:rFonts w:ascii="Tahoma" w:hAnsi="Tahoma" w:eastAsia="Tahoma" w:cs="Tahoma"/>
      <w:color w:val="000000"/>
      <w:sz w:val="18"/>
      <w:szCs w:val="18"/>
      <w:u w:val="none"/>
    </w:rPr>
  </w:style>
  <w:style w:type="character" w:customStyle="1" w:styleId="49">
    <w:name w:val="font51"/>
    <w:qFormat/>
    <w:uiPriority w:val="0"/>
    <w:rPr>
      <w:rFonts w:hint="eastAsia" w:ascii="宋体" w:hAnsi="宋体" w:eastAsia="宋体" w:cs="宋体"/>
      <w:color w:val="000000"/>
      <w:sz w:val="20"/>
      <w:szCs w:val="20"/>
      <w:u w:val="none"/>
    </w:rPr>
  </w:style>
  <w:style w:type="character" w:customStyle="1" w:styleId="50">
    <w:name w:val="font61"/>
    <w:qFormat/>
    <w:uiPriority w:val="0"/>
    <w:rPr>
      <w:rFonts w:hint="eastAsia" w:ascii="宋体" w:hAnsi="宋体" w:eastAsia="宋体" w:cs="宋体"/>
      <w:color w:val="000000"/>
      <w:sz w:val="20"/>
      <w:szCs w:val="20"/>
      <w:u w:val="none"/>
    </w:rPr>
  </w:style>
  <w:style w:type="character" w:customStyle="1" w:styleId="51">
    <w:name w:val="font01"/>
    <w:basedOn w:val="22"/>
    <w:qFormat/>
    <w:uiPriority w:val="0"/>
    <w:rPr>
      <w:rFonts w:hint="eastAsia" w:ascii="微软雅黑" w:hAnsi="微软雅黑" w:eastAsia="微软雅黑" w:cs="微软雅黑"/>
      <w:color w:val="000000"/>
      <w:sz w:val="18"/>
      <w:szCs w:val="18"/>
      <w:u w:val="none"/>
    </w:rPr>
  </w:style>
  <w:style w:type="paragraph" w:customStyle="1" w:styleId="52">
    <w:name w:val="内文正文"/>
    <w:qFormat/>
    <w:uiPriority w:val="0"/>
    <w:pPr>
      <w:adjustRightInd w:val="0"/>
      <w:snapToGrid w:val="0"/>
      <w:spacing w:line="400" w:lineRule="exact"/>
      <w:ind w:firstLine="200" w:firstLineChars="200"/>
    </w:pPr>
    <w:rPr>
      <w:rFonts w:ascii="Arial" w:hAnsi="Arial" w:eastAsia="宋体" w:cs="Times New Roman"/>
      <w:color w:val="000000"/>
      <w:kern w:val="2"/>
      <w:sz w:val="21"/>
      <w:szCs w:val="21"/>
      <w:lang w:val="en-US" w:eastAsia="zh-CN" w:bidi="ar-SA"/>
    </w:rPr>
  </w:style>
  <w:style w:type="paragraph" w:customStyle="1" w:styleId="53">
    <w:name w:val="表格文字"/>
    <w:next w:val="3"/>
    <w:qFormat/>
    <w:locked/>
    <w:uiPriority w:val="0"/>
    <w:pPr>
      <w:spacing w:beforeLines="25" w:afterLines="25"/>
      <w:jc w:val="center"/>
    </w:pPr>
    <w:rPr>
      <w:rFonts w:ascii="Times New Roman" w:hAnsi="Times New Roman" w:eastAsia="宋体" w:cs="Times New Roman"/>
      <w:kern w:val="2"/>
      <w:sz w:val="24"/>
      <w:szCs w:val="28"/>
      <w:lang w:val="en-US" w:eastAsia="zh-CN" w:bidi="ar-SA"/>
    </w:rPr>
  </w:style>
  <w:style w:type="character" w:customStyle="1" w:styleId="54">
    <w:name w:val="font21"/>
    <w:basedOn w:val="22"/>
    <w:qFormat/>
    <w:uiPriority w:val="0"/>
    <w:rPr>
      <w:rFonts w:hint="eastAsia" w:ascii="微软雅黑" w:hAnsi="微软雅黑" w:eastAsia="微软雅黑" w:cs="微软雅黑"/>
      <w:color w:val="000000"/>
      <w:sz w:val="18"/>
      <w:szCs w:val="18"/>
      <w:u w:val="none"/>
    </w:rPr>
  </w:style>
  <w:style w:type="paragraph" w:customStyle="1" w:styleId="55">
    <w:name w:val="正文2"/>
    <w:basedOn w:val="1"/>
    <w:qFormat/>
    <w:uiPriority w:val="0"/>
    <w:pPr>
      <w:spacing w:before="156" w:line="360" w:lineRule="auto"/>
      <w:ind w:firstLine="510" w:firstLineChars="200"/>
    </w:pPr>
    <w:rPr>
      <w:sz w:val="24"/>
      <w:szCs w:val="20"/>
    </w:rPr>
  </w:style>
  <w:style w:type="character" w:customStyle="1" w:styleId="56">
    <w:name w:val="first-child"/>
    <w:basedOn w:val="22"/>
    <w:qFormat/>
    <w:uiPriority w:val="0"/>
  </w:style>
  <w:style w:type="character" w:customStyle="1" w:styleId="57">
    <w:name w:val="layui-this"/>
    <w:basedOn w:val="22"/>
    <w:qFormat/>
    <w:uiPriority w:val="0"/>
    <w:rPr>
      <w:bdr w:val="single" w:color="EEEEEE" w:sz="6" w:space="0"/>
      <w:shd w:val="clear" w:color="auto" w:fill="FFFFFF"/>
    </w:rPr>
  </w:style>
  <w:style w:type="character" w:customStyle="1" w:styleId="58">
    <w:name w:val="hover11"/>
    <w:basedOn w:val="22"/>
    <w:qFormat/>
    <w:uiPriority w:val="0"/>
    <w:rPr>
      <w:color w:val="1258AD"/>
      <w:u w:val="none"/>
      <w:bdr w:val="single" w:color="1258AD" w:sz="6" w:space="0"/>
    </w:rPr>
  </w:style>
  <w:style w:type="character" w:customStyle="1" w:styleId="59">
    <w:name w:val="font91"/>
    <w:qFormat/>
    <w:uiPriority w:val="0"/>
    <w:rPr>
      <w:rFonts w:hint="eastAsia" w:ascii="宋体" w:hAnsi="宋体" w:eastAsia="宋体" w:cs="宋体"/>
      <w:color w:val="000000"/>
      <w:sz w:val="24"/>
      <w:szCs w:val="24"/>
      <w:u w:val="none"/>
    </w:rPr>
  </w:style>
  <w:style w:type="paragraph" w:customStyle="1" w:styleId="60">
    <w:name w:val="样式 正文文本缩进 + 左  0 字符"/>
    <w:basedOn w:val="9"/>
    <w:qFormat/>
    <w:uiPriority w:val="99"/>
    <w:pPr>
      <w:spacing w:line="360" w:lineRule="auto"/>
      <w:ind w:firstLine="250" w:firstLineChars="250"/>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2260</Words>
  <Characters>12884</Characters>
  <Lines>107</Lines>
  <Paragraphs>30</Paragraphs>
  <TotalTime>4</TotalTime>
  <ScaleCrop>false</ScaleCrop>
  <LinksUpToDate>false</LinksUpToDate>
  <CharactersWithSpaces>15114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2021-07-13T16:56:00Z</dcterms:created>
  <dc:creator>vilibook</dc:creator>
  <cp:lastModifiedBy>朱俊芬</cp:lastModifiedBy>
  <cp:lastPrinted>2021-09-27T09:31:00Z</cp:lastPrinted>
  <dcterms:modified xsi:type="dcterms:W3CDTF">2021-09-28T00:36:51Z</dcterms:modified>
  <dc:title>浙江泰宁建设工程管理咨询有限公司</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DCBBB247EB824ECD8F05F0031034B562</vt:lpwstr>
  </property>
  <property fmtid="{D5CDD505-2E9C-101B-9397-08002B2CF9AE}" pid="3" name="KSOProductBuildVer">
    <vt:lpwstr>2052-11.1.0.10700</vt:lpwstr>
  </property>
</Properties>
</file>