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rPr>
          <w:b/>
          <w:color w:val="auto"/>
          <w:sz w:val="36"/>
          <w:szCs w:val="36"/>
          <w:highlight w:val="none"/>
        </w:rPr>
      </w:pPr>
    </w:p>
    <w:p>
      <w:pPr>
        <w:pStyle w:val="6"/>
        <w:autoSpaceDE w:val="0"/>
        <w:autoSpaceDN w:val="0"/>
        <w:adjustRightInd w:val="0"/>
        <w:jc w:val="center"/>
        <w:textAlignment w:val="baseline"/>
        <w:rPr>
          <w:b/>
          <w:color w:val="auto"/>
          <w:sz w:val="36"/>
          <w:szCs w:val="36"/>
          <w:highlight w:val="none"/>
        </w:rPr>
      </w:pPr>
      <w:r>
        <w:rPr>
          <w:rFonts w:hint="eastAsia" w:ascii="宋体" w:hAnsi="宋体" w:cs="宋体"/>
          <w:b/>
          <w:color w:val="auto"/>
          <w:sz w:val="72"/>
          <w:szCs w:val="72"/>
          <w:highlight w:val="none"/>
        </w:rPr>
        <w:t>浙江广厦建设职业技术大学</w:t>
      </w:r>
    </w:p>
    <w:p>
      <w:pPr>
        <w:pStyle w:val="6"/>
        <w:autoSpaceDE w:val="0"/>
        <w:autoSpaceDN w:val="0"/>
        <w:adjustRightInd w:val="0"/>
        <w:spacing w:line="480" w:lineRule="auto"/>
        <w:jc w:val="center"/>
        <w:textAlignment w:val="baseline"/>
        <w:rPr>
          <w:b/>
          <w:color w:val="auto"/>
          <w:sz w:val="36"/>
          <w:szCs w:val="36"/>
          <w:highlight w:val="none"/>
        </w:rPr>
      </w:pPr>
    </w:p>
    <w:p>
      <w:pPr>
        <w:pStyle w:val="6"/>
        <w:autoSpaceDE w:val="0"/>
        <w:autoSpaceDN w:val="0"/>
        <w:adjustRightInd w:val="0"/>
        <w:jc w:val="center"/>
        <w:textAlignment w:val="baseline"/>
        <w:rPr>
          <w:b/>
          <w:color w:val="auto"/>
          <w:sz w:val="36"/>
          <w:szCs w:val="36"/>
          <w:highlight w:val="none"/>
        </w:rPr>
      </w:pPr>
      <w:r>
        <w:rPr>
          <w:rFonts w:hint="eastAsia"/>
          <w:b/>
          <w:color w:val="auto"/>
          <w:sz w:val="52"/>
          <w:szCs w:val="52"/>
          <w:highlight w:val="none"/>
        </w:rPr>
        <w:t>工程造价咨询企业资格采购</w:t>
      </w:r>
    </w:p>
    <w:p>
      <w:pPr>
        <w:pStyle w:val="6"/>
        <w:autoSpaceDE w:val="0"/>
        <w:autoSpaceDN w:val="0"/>
        <w:adjustRightInd w:val="0"/>
        <w:spacing w:line="480" w:lineRule="auto"/>
        <w:jc w:val="center"/>
        <w:textAlignment w:val="baseline"/>
        <w:rPr>
          <w:b/>
          <w:color w:val="auto"/>
          <w:sz w:val="36"/>
          <w:szCs w:val="36"/>
          <w:highlight w:val="none"/>
        </w:rPr>
      </w:pPr>
    </w:p>
    <w:p>
      <w:pPr>
        <w:pStyle w:val="6"/>
        <w:autoSpaceDE w:val="0"/>
        <w:autoSpaceDN w:val="0"/>
        <w:adjustRightInd w:val="0"/>
        <w:jc w:val="center"/>
        <w:textAlignment w:val="baseline"/>
        <w:rPr>
          <w:b/>
          <w:color w:val="auto"/>
          <w:sz w:val="36"/>
          <w:szCs w:val="36"/>
          <w:highlight w:val="none"/>
        </w:rPr>
      </w:pPr>
      <w:r>
        <w:rPr>
          <w:rFonts w:hint="eastAsia"/>
          <w:b/>
          <w:color w:val="auto"/>
          <w:sz w:val="84"/>
          <w:szCs w:val="84"/>
          <w:highlight w:val="none"/>
        </w:rPr>
        <w:t>招标文件</w:t>
      </w:r>
    </w:p>
    <w:p>
      <w:pPr>
        <w:spacing w:line="360" w:lineRule="auto"/>
        <w:jc w:val="center"/>
        <w:rPr>
          <w:rFonts w:ascii="仿宋_GB2312" w:eastAsia="黑体"/>
          <w:color w:val="auto"/>
          <w:sz w:val="28"/>
          <w:szCs w:val="28"/>
          <w:highlight w:val="none"/>
        </w:rPr>
      </w:pPr>
    </w:p>
    <w:p>
      <w:pPr>
        <w:spacing w:line="360" w:lineRule="auto"/>
        <w:jc w:val="center"/>
        <w:rPr>
          <w:b/>
          <w:color w:val="auto"/>
          <w:sz w:val="28"/>
          <w:szCs w:val="28"/>
          <w:highlight w:val="none"/>
        </w:rPr>
      </w:pPr>
    </w:p>
    <w:p>
      <w:pPr>
        <w:pStyle w:val="5"/>
        <w:rPr>
          <w:b/>
          <w:color w:val="auto"/>
          <w:szCs w:val="28"/>
          <w:highlight w:val="none"/>
        </w:rPr>
      </w:pPr>
    </w:p>
    <w:p>
      <w:pPr>
        <w:pStyle w:val="14"/>
        <w:ind w:firstLine="280"/>
        <w:rPr>
          <w:color w:val="auto"/>
          <w:highlight w:val="none"/>
        </w:rPr>
      </w:pPr>
    </w:p>
    <w:p>
      <w:pPr>
        <w:pStyle w:val="21"/>
        <w:snapToGrid w:val="0"/>
        <w:spacing w:before="50" w:line="480" w:lineRule="auto"/>
        <w:ind w:firstLine="1205" w:firstLineChars="400"/>
        <w:rPr>
          <w:rFonts w:cs="宋体"/>
          <w:b/>
          <w:bCs/>
          <w:color w:val="auto"/>
          <w:sz w:val="30"/>
          <w:szCs w:val="30"/>
          <w:highlight w:val="none"/>
        </w:rPr>
      </w:pPr>
      <w:r>
        <w:rPr>
          <w:rFonts w:cs="宋体"/>
          <w:b/>
          <w:bCs/>
          <w:color w:val="auto"/>
          <w:sz w:val="30"/>
          <w:szCs w:val="30"/>
          <w:highlight w:val="none"/>
        </w:rPr>
        <w:t>项目编号：</w:t>
      </w:r>
      <w:r>
        <w:rPr>
          <w:rFonts w:hint="eastAsia" w:cs="宋体"/>
          <w:b/>
          <w:bCs/>
          <w:color w:val="auto"/>
          <w:sz w:val="30"/>
          <w:szCs w:val="30"/>
          <w:highlight w:val="none"/>
        </w:rPr>
        <w:t>ZJGS2021-C016</w:t>
      </w:r>
    </w:p>
    <w:p>
      <w:pPr>
        <w:pStyle w:val="6"/>
        <w:autoSpaceDE w:val="0"/>
        <w:autoSpaceDN w:val="0"/>
        <w:adjustRightInd w:val="0"/>
        <w:spacing w:line="480" w:lineRule="auto"/>
        <w:ind w:firstLine="1205" w:firstLineChars="400"/>
        <w:textAlignment w:val="baseline"/>
        <w:rPr>
          <w:rFonts w:cs="宋体"/>
          <w:b/>
          <w:bCs/>
          <w:color w:val="auto"/>
          <w:sz w:val="30"/>
          <w:szCs w:val="30"/>
          <w:highlight w:val="none"/>
        </w:rPr>
      </w:pPr>
      <w:r>
        <w:rPr>
          <w:rFonts w:cs="宋体"/>
          <w:b/>
          <w:bCs/>
          <w:color w:val="auto"/>
          <w:sz w:val="30"/>
          <w:szCs w:val="30"/>
          <w:highlight w:val="none"/>
        </w:rPr>
        <w:t>项目名称：</w:t>
      </w:r>
      <w:r>
        <w:rPr>
          <w:rFonts w:hint="eastAsia" w:cs="宋体"/>
          <w:b/>
          <w:bCs/>
          <w:color w:val="auto"/>
          <w:sz w:val="30"/>
          <w:szCs w:val="30"/>
          <w:highlight w:val="none"/>
        </w:rPr>
        <w:t>浙江广厦建设职业技术大学</w:t>
      </w:r>
      <w:r>
        <w:rPr>
          <w:rFonts w:hint="eastAsia"/>
          <w:b/>
          <w:color w:val="auto"/>
          <w:sz w:val="28"/>
          <w:szCs w:val="28"/>
          <w:highlight w:val="none"/>
        </w:rPr>
        <w:t>工程造价咨询企业资格采购</w:t>
      </w:r>
    </w:p>
    <w:p>
      <w:pPr>
        <w:pStyle w:val="21"/>
        <w:snapToGrid w:val="0"/>
        <w:spacing w:before="50" w:line="480" w:lineRule="auto"/>
        <w:ind w:firstLine="1205" w:firstLineChars="400"/>
        <w:rPr>
          <w:rFonts w:cs="宋体"/>
          <w:b/>
          <w:bCs/>
          <w:color w:val="auto"/>
          <w:sz w:val="30"/>
          <w:szCs w:val="30"/>
          <w:highlight w:val="none"/>
        </w:rPr>
      </w:pPr>
      <w:r>
        <w:rPr>
          <w:rFonts w:cs="宋体"/>
          <w:b/>
          <w:bCs/>
          <w:color w:val="auto"/>
          <w:sz w:val="30"/>
          <w:szCs w:val="30"/>
          <w:highlight w:val="none"/>
        </w:rPr>
        <w:t>采购单位：浙江广厦建设职业技术大学</w:t>
      </w:r>
    </w:p>
    <w:p>
      <w:pPr>
        <w:pStyle w:val="21"/>
        <w:snapToGrid w:val="0"/>
        <w:spacing w:before="50" w:line="560" w:lineRule="exact"/>
        <w:jc w:val="center"/>
        <w:rPr>
          <w:rFonts w:cs="宋体"/>
          <w:b/>
          <w:bCs/>
          <w:color w:val="auto"/>
          <w:sz w:val="30"/>
          <w:szCs w:val="30"/>
          <w:highlight w:val="none"/>
        </w:rPr>
      </w:pPr>
    </w:p>
    <w:p>
      <w:pPr>
        <w:autoSpaceDE w:val="0"/>
        <w:autoSpaceDN w:val="0"/>
        <w:adjustRightInd w:val="0"/>
        <w:spacing w:line="580" w:lineRule="exact"/>
        <w:ind w:firstLine="596" w:firstLineChars="198"/>
        <w:jc w:val="center"/>
        <w:rPr>
          <w:b/>
          <w:bCs/>
          <w:color w:val="auto"/>
          <w:kern w:val="36"/>
          <w:sz w:val="28"/>
          <w:szCs w:val="28"/>
          <w:highlight w:val="none"/>
        </w:rPr>
      </w:pPr>
      <w:r>
        <w:rPr>
          <w:rFonts w:hint="eastAsia" w:cs="宋体"/>
          <w:b/>
          <w:bCs/>
          <w:color w:val="auto"/>
          <w:sz w:val="30"/>
          <w:szCs w:val="30"/>
          <w:highlight w:val="none"/>
        </w:rPr>
        <w:t>2021年11月8日</w:t>
      </w:r>
      <w:r>
        <w:rPr>
          <w:color w:val="auto"/>
          <w:sz w:val="28"/>
          <w:szCs w:val="28"/>
          <w:highlight w:val="none"/>
        </w:rPr>
        <w:br w:type="page"/>
      </w:r>
      <w:r>
        <w:rPr>
          <w:rFonts w:hint="eastAsia" w:ascii="宋体"/>
          <w:b/>
          <w:bCs/>
          <w:color w:val="auto"/>
          <w:kern w:val="36"/>
          <w:sz w:val="44"/>
          <w:szCs w:val="44"/>
          <w:highlight w:val="none"/>
          <w:lang w:val="zh-CN"/>
        </w:rPr>
        <w:t>目录</w:t>
      </w:r>
    </w:p>
    <w:p>
      <w:pPr>
        <w:tabs>
          <w:tab w:val="left" w:pos="0"/>
        </w:tabs>
        <w:autoSpaceDE w:val="0"/>
        <w:autoSpaceDN w:val="0"/>
        <w:adjustRightInd w:val="0"/>
        <w:spacing w:line="560" w:lineRule="exact"/>
        <w:ind w:left="748" w:leftChars="356"/>
        <w:rPr>
          <w:rFonts w:ascii="宋体" w:hAnsi="宋体"/>
          <w:color w:val="auto"/>
          <w:sz w:val="28"/>
          <w:szCs w:val="28"/>
          <w:highlight w:val="none"/>
        </w:rPr>
      </w:pPr>
    </w:p>
    <w:p>
      <w:pPr>
        <w:tabs>
          <w:tab w:val="left" w:pos="0"/>
        </w:tabs>
        <w:autoSpaceDE w:val="0"/>
        <w:autoSpaceDN w:val="0"/>
        <w:adjustRightInd w:val="0"/>
        <w:spacing w:line="560" w:lineRule="exact"/>
        <w:ind w:left="748" w:leftChars="356"/>
        <w:rPr>
          <w:rFonts w:ascii="宋体" w:hAnsi="宋体"/>
          <w:color w:val="auto"/>
          <w:sz w:val="28"/>
          <w:szCs w:val="28"/>
          <w:highlight w:val="none"/>
        </w:rPr>
      </w:pPr>
      <w:r>
        <w:rPr>
          <w:rFonts w:hint="eastAsia" w:ascii="宋体" w:hAnsi="宋体"/>
          <w:color w:val="auto"/>
          <w:sz w:val="28"/>
          <w:szCs w:val="28"/>
          <w:highlight w:val="none"/>
        </w:rPr>
        <w:t>第一章   招标公告</w:t>
      </w:r>
    </w:p>
    <w:p>
      <w:pPr>
        <w:tabs>
          <w:tab w:val="left" w:pos="0"/>
        </w:tabs>
        <w:autoSpaceDE w:val="0"/>
        <w:autoSpaceDN w:val="0"/>
        <w:adjustRightInd w:val="0"/>
        <w:spacing w:line="560" w:lineRule="exact"/>
        <w:ind w:left="748" w:leftChars="356"/>
        <w:rPr>
          <w:rFonts w:ascii="宋体" w:hAnsi="宋体"/>
          <w:color w:val="auto"/>
          <w:sz w:val="28"/>
          <w:szCs w:val="28"/>
          <w:highlight w:val="none"/>
        </w:rPr>
      </w:pPr>
      <w:r>
        <w:rPr>
          <w:rFonts w:hint="eastAsia" w:ascii="宋体" w:hAnsi="宋体"/>
          <w:color w:val="auto"/>
          <w:sz w:val="28"/>
          <w:szCs w:val="28"/>
          <w:highlight w:val="none"/>
        </w:rPr>
        <w:t>第二章   投标须知</w:t>
      </w:r>
    </w:p>
    <w:p>
      <w:pPr>
        <w:tabs>
          <w:tab w:val="left" w:pos="0"/>
        </w:tabs>
        <w:autoSpaceDE w:val="0"/>
        <w:autoSpaceDN w:val="0"/>
        <w:adjustRightInd w:val="0"/>
        <w:spacing w:line="560" w:lineRule="exact"/>
        <w:ind w:left="748" w:leftChars="356"/>
        <w:rPr>
          <w:rFonts w:ascii="宋体" w:hAnsi="宋体"/>
          <w:color w:val="auto"/>
          <w:sz w:val="28"/>
          <w:szCs w:val="28"/>
          <w:highlight w:val="none"/>
        </w:rPr>
      </w:pPr>
      <w:r>
        <w:rPr>
          <w:rFonts w:hint="eastAsia" w:ascii="宋体" w:hAnsi="宋体"/>
          <w:color w:val="auto"/>
          <w:sz w:val="28"/>
          <w:szCs w:val="28"/>
          <w:highlight w:val="none"/>
        </w:rPr>
        <w:t xml:space="preserve">第三章   </w:t>
      </w:r>
      <w:r>
        <w:rPr>
          <w:rFonts w:ascii="宋体" w:hAnsi="宋体"/>
          <w:color w:val="auto"/>
          <w:sz w:val="28"/>
          <w:szCs w:val="28"/>
          <w:highlight w:val="none"/>
        </w:rPr>
        <w:t>评标方法、标准、程序</w:t>
      </w:r>
      <w:r>
        <w:rPr>
          <w:rFonts w:hint="eastAsia" w:ascii="宋体" w:hAnsi="宋体"/>
          <w:color w:val="auto"/>
          <w:sz w:val="28"/>
          <w:szCs w:val="28"/>
          <w:highlight w:val="none"/>
        </w:rPr>
        <w:t>及细则</w:t>
      </w:r>
    </w:p>
    <w:p>
      <w:pPr>
        <w:tabs>
          <w:tab w:val="left" w:pos="0"/>
        </w:tabs>
        <w:autoSpaceDE w:val="0"/>
        <w:autoSpaceDN w:val="0"/>
        <w:adjustRightInd w:val="0"/>
        <w:spacing w:line="560" w:lineRule="exact"/>
        <w:ind w:left="748" w:leftChars="356"/>
        <w:rPr>
          <w:rFonts w:ascii="宋体" w:hAnsi="宋体"/>
          <w:color w:val="auto"/>
          <w:sz w:val="28"/>
          <w:szCs w:val="28"/>
          <w:highlight w:val="none"/>
        </w:rPr>
      </w:pPr>
      <w:r>
        <w:rPr>
          <w:rFonts w:hint="eastAsia" w:ascii="宋体" w:hAnsi="宋体"/>
          <w:color w:val="auto"/>
          <w:sz w:val="28"/>
          <w:szCs w:val="28"/>
          <w:highlight w:val="none"/>
        </w:rPr>
        <w:t>第四章   投标文件格式</w:t>
      </w:r>
    </w:p>
    <w:p>
      <w:pPr>
        <w:spacing w:line="520" w:lineRule="atLeast"/>
        <w:jc w:val="center"/>
        <w:rPr>
          <w:color w:val="auto"/>
          <w:sz w:val="28"/>
          <w:szCs w:val="28"/>
          <w:highlight w:val="none"/>
        </w:rPr>
      </w:pPr>
    </w:p>
    <w:p>
      <w:pPr>
        <w:spacing w:line="520" w:lineRule="atLeast"/>
        <w:jc w:val="center"/>
        <w:rPr>
          <w:color w:val="auto"/>
          <w:sz w:val="28"/>
          <w:szCs w:val="28"/>
          <w:highlight w:val="none"/>
        </w:rPr>
        <w:sectPr>
          <w:headerReference r:id="rId3" w:type="default"/>
          <w:footerReference r:id="rId5" w:type="default"/>
          <w:headerReference r:id="rId4" w:type="even"/>
          <w:footerReference r:id="rId6" w:type="even"/>
          <w:pgSz w:w="11906" w:h="16838"/>
          <w:pgMar w:top="1361" w:right="566" w:bottom="1361" w:left="1080" w:header="851" w:footer="992" w:gutter="0"/>
          <w:pgNumType w:start="0"/>
          <w:cols w:space="720" w:num="1"/>
          <w:titlePg/>
          <w:docGrid w:linePitch="312" w:charSpace="0"/>
        </w:sectPr>
      </w:pPr>
    </w:p>
    <w:p>
      <w:pPr>
        <w:spacing w:line="520" w:lineRule="atLeast"/>
        <w:jc w:val="center"/>
        <w:rPr>
          <w:rFonts w:ascii="宋体" w:hAnsi="宋体"/>
          <w:b/>
          <w:color w:val="auto"/>
          <w:sz w:val="28"/>
          <w:szCs w:val="28"/>
          <w:highlight w:val="none"/>
        </w:rPr>
      </w:pPr>
      <w:r>
        <w:rPr>
          <w:rFonts w:hint="eastAsia" w:ascii="宋体" w:hAnsi="宋体"/>
          <w:b/>
          <w:color w:val="auto"/>
          <w:sz w:val="28"/>
          <w:szCs w:val="28"/>
          <w:highlight w:val="none"/>
        </w:rPr>
        <w:t>第一章  招标公告</w:t>
      </w:r>
    </w:p>
    <w:p>
      <w:pPr>
        <w:pStyle w:val="6"/>
        <w:autoSpaceDE w:val="0"/>
        <w:autoSpaceDN w:val="0"/>
        <w:adjustRightInd w:val="0"/>
        <w:spacing w:line="0" w:lineRule="atLeast"/>
        <w:jc w:val="center"/>
        <w:textAlignment w:val="baseline"/>
        <w:rPr>
          <w:b/>
          <w:color w:val="auto"/>
          <w:sz w:val="28"/>
          <w:szCs w:val="28"/>
          <w:highlight w:val="none"/>
        </w:rPr>
      </w:pPr>
      <w:r>
        <w:rPr>
          <w:rFonts w:hint="eastAsia"/>
          <w:b/>
          <w:color w:val="auto"/>
          <w:sz w:val="28"/>
          <w:szCs w:val="28"/>
          <w:highlight w:val="none"/>
        </w:rPr>
        <w:t>浙江广厦建设职业技术大学工程造价咨询企业资格采购</w:t>
      </w:r>
    </w:p>
    <w:p>
      <w:pPr>
        <w:pStyle w:val="6"/>
        <w:autoSpaceDE w:val="0"/>
        <w:autoSpaceDN w:val="0"/>
        <w:adjustRightInd w:val="0"/>
        <w:spacing w:line="0" w:lineRule="atLeast"/>
        <w:jc w:val="center"/>
        <w:textAlignment w:val="baseline"/>
        <w:rPr>
          <w:rFonts w:ascii="宋体" w:hAnsi="宋体"/>
          <w:b/>
          <w:color w:val="auto"/>
          <w:sz w:val="28"/>
          <w:szCs w:val="28"/>
          <w:highlight w:val="none"/>
        </w:rPr>
      </w:pPr>
      <w:r>
        <w:rPr>
          <w:rFonts w:hint="eastAsia" w:ascii="宋体" w:hAnsi="宋体"/>
          <w:b/>
          <w:color w:val="auto"/>
          <w:sz w:val="28"/>
          <w:szCs w:val="28"/>
          <w:highlight w:val="none"/>
        </w:rPr>
        <w:t>招 标 公 告</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浙江广厦建设职业技术大学就2021年12月至2022年11月(暂定一年)</w:t>
      </w:r>
      <w:r>
        <w:rPr>
          <w:rFonts w:hint="eastAsia" w:ascii="宋体" w:hAnsi="宋体"/>
          <w:color w:val="auto"/>
          <w:sz w:val="28"/>
          <w:szCs w:val="28"/>
          <w:highlight w:val="none"/>
          <w:lang w:eastAsia="zh-CN"/>
        </w:rPr>
        <w:t>工程</w:t>
      </w:r>
      <w:r>
        <w:rPr>
          <w:rFonts w:hint="eastAsia" w:ascii="宋体" w:hAnsi="宋体"/>
          <w:color w:val="auto"/>
          <w:sz w:val="28"/>
          <w:szCs w:val="28"/>
          <w:highlight w:val="none"/>
        </w:rPr>
        <w:t>建设项目工程预决算编审资格进行采购，拟采用公开招标方式，择优选择中介机构4家，欢迎符合条件的中介机构参加投标。</w:t>
      </w:r>
    </w:p>
    <w:p>
      <w:pPr>
        <w:snapToGrid w:val="0"/>
        <w:spacing w:line="400" w:lineRule="exact"/>
        <w:ind w:firstLine="480"/>
        <w:rPr>
          <w:rFonts w:ascii="宋体" w:hAnsi="宋体" w:cs="宋体"/>
          <w:color w:val="auto"/>
          <w:kern w:val="0"/>
          <w:sz w:val="28"/>
          <w:szCs w:val="28"/>
          <w:highlight w:val="none"/>
        </w:rPr>
      </w:pPr>
      <w:r>
        <w:rPr>
          <w:rFonts w:ascii="宋体" w:hAnsi="宋体" w:cs="Arial"/>
          <w:color w:val="auto"/>
          <w:sz w:val="28"/>
          <w:szCs w:val="28"/>
          <w:highlight w:val="none"/>
        </w:rPr>
        <w:t>一、</w:t>
      </w:r>
      <w:r>
        <w:rPr>
          <w:rFonts w:ascii="宋体" w:hAnsi="宋体" w:cs="Arial"/>
          <w:b/>
          <w:bCs/>
          <w:color w:val="auto"/>
          <w:sz w:val="28"/>
          <w:szCs w:val="28"/>
          <w:highlight w:val="none"/>
        </w:rPr>
        <w:t>项目编号：</w:t>
      </w:r>
      <w:r>
        <w:rPr>
          <w:rFonts w:hint="eastAsia" w:ascii="宋体" w:hAnsi="宋体" w:cs="宋体"/>
          <w:color w:val="auto"/>
          <w:kern w:val="0"/>
          <w:sz w:val="28"/>
          <w:szCs w:val="28"/>
          <w:highlight w:val="none"/>
        </w:rPr>
        <w:t>ZJGS2021-C016</w:t>
      </w:r>
    </w:p>
    <w:p>
      <w:pPr>
        <w:snapToGrid w:val="0"/>
        <w:spacing w:line="400" w:lineRule="exact"/>
        <w:ind w:firstLine="480"/>
        <w:rPr>
          <w:rFonts w:ascii="宋体" w:hAnsi="宋体" w:cs="Arial"/>
          <w:color w:val="auto"/>
          <w:sz w:val="28"/>
          <w:szCs w:val="28"/>
          <w:highlight w:val="none"/>
        </w:rPr>
      </w:pPr>
      <w:r>
        <w:rPr>
          <w:rFonts w:ascii="宋体" w:hAnsi="宋体" w:cs="Arial"/>
          <w:color w:val="auto"/>
          <w:sz w:val="28"/>
          <w:szCs w:val="28"/>
          <w:highlight w:val="none"/>
        </w:rPr>
        <w:t>二、</w:t>
      </w:r>
      <w:r>
        <w:rPr>
          <w:rFonts w:ascii="宋体" w:hAnsi="宋体" w:cs="Arial"/>
          <w:b/>
          <w:color w:val="auto"/>
          <w:sz w:val="28"/>
          <w:szCs w:val="28"/>
          <w:highlight w:val="none"/>
        </w:rPr>
        <w:t>采购组织类型：</w:t>
      </w:r>
      <w:r>
        <w:rPr>
          <w:rFonts w:ascii="宋体" w:hAnsi="宋体" w:cs="Arial"/>
          <w:color w:val="auto"/>
          <w:sz w:val="28"/>
          <w:szCs w:val="28"/>
          <w:highlight w:val="none"/>
        </w:rPr>
        <w:t>自行采购</w:t>
      </w:r>
    </w:p>
    <w:p>
      <w:pPr>
        <w:snapToGrid w:val="0"/>
        <w:spacing w:line="400" w:lineRule="exact"/>
        <w:ind w:firstLine="482"/>
        <w:rPr>
          <w:rFonts w:ascii="宋体" w:hAnsi="宋体" w:cs="Arial"/>
          <w:color w:val="auto"/>
          <w:sz w:val="28"/>
          <w:szCs w:val="28"/>
          <w:highlight w:val="none"/>
        </w:rPr>
      </w:pPr>
      <w:r>
        <w:rPr>
          <w:rFonts w:ascii="宋体" w:hAnsi="宋体" w:cs="Arial"/>
          <w:b/>
          <w:color w:val="auto"/>
          <w:sz w:val="28"/>
          <w:szCs w:val="28"/>
          <w:highlight w:val="none"/>
        </w:rPr>
        <w:t>三、采购方式：</w:t>
      </w:r>
      <w:r>
        <w:rPr>
          <w:rFonts w:ascii="宋体" w:hAnsi="宋体" w:cs="Arial"/>
          <w:color w:val="auto"/>
          <w:sz w:val="28"/>
          <w:szCs w:val="28"/>
          <w:highlight w:val="none"/>
        </w:rPr>
        <w:t>公开招标</w:t>
      </w:r>
    </w:p>
    <w:p>
      <w:pPr>
        <w:spacing w:line="3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四、招标内容及范围</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eastAsia="zh-CN"/>
        </w:rPr>
        <w:t>工程</w:t>
      </w:r>
      <w:r>
        <w:rPr>
          <w:rFonts w:hint="eastAsia" w:ascii="宋体" w:hAnsi="宋体"/>
          <w:color w:val="auto"/>
          <w:sz w:val="28"/>
          <w:szCs w:val="28"/>
          <w:highlight w:val="none"/>
        </w:rPr>
        <w:t>建设项目预算编制；</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eastAsia="zh-CN"/>
        </w:rPr>
        <w:t>工程</w:t>
      </w:r>
      <w:r>
        <w:rPr>
          <w:rFonts w:hint="eastAsia" w:ascii="宋体" w:hAnsi="宋体"/>
          <w:color w:val="auto"/>
          <w:sz w:val="28"/>
          <w:szCs w:val="28"/>
          <w:highlight w:val="none"/>
        </w:rPr>
        <w:t>建设项目预算审核（除需财政审核外）；</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hint="eastAsia" w:ascii="宋体" w:hAnsi="宋体"/>
          <w:color w:val="auto"/>
          <w:sz w:val="28"/>
          <w:szCs w:val="28"/>
          <w:highlight w:val="none"/>
          <w:lang w:eastAsia="zh-CN"/>
        </w:rPr>
        <w:t>工程</w:t>
      </w:r>
      <w:r>
        <w:rPr>
          <w:rFonts w:hint="eastAsia" w:ascii="宋体" w:hAnsi="宋体"/>
          <w:color w:val="auto"/>
          <w:sz w:val="28"/>
          <w:szCs w:val="28"/>
          <w:highlight w:val="none"/>
        </w:rPr>
        <w:t>建设项目结算审核。</w:t>
      </w:r>
    </w:p>
    <w:p>
      <w:pPr>
        <w:spacing w:line="36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五、</w:t>
      </w:r>
      <w:r>
        <w:rPr>
          <w:rFonts w:ascii="宋体" w:hAnsi="宋体"/>
          <w:b/>
          <w:color w:val="auto"/>
          <w:sz w:val="28"/>
          <w:szCs w:val="28"/>
          <w:highlight w:val="none"/>
        </w:rPr>
        <w:t>投标人资格</w:t>
      </w:r>
      <w:r>
        <w:rPr>
          <w:rFonts w:hint="eastAsia" w:ascii="宋体" w:hAnsi="宋体"/>
          <w:b/>
          <w:color w:val="auto"/>
          <w:sz w:val="28"/>
          <w:szCs w:val="28"/>
          <w:highlight w:val="none"/>
        </w:rPr>
        <w:t>要求</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投标人具有独立法人资格，营业执照必须具有本次招标内容（工程造价咨询）响应的经营范围，并具有建设行政主管部门核发的工程造价咨询企业甲级资质，在本招标公告之前在金华市成立具有独立法人资质的或在东阳市开设分公司的社会审价中介机构，并已在东阳市公共资源交易平台注册备案。</w:t>
      </w:r>
    </w:p>
    <w:p>
      <w:pPr>
        <w:spacing w:line="3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2、拟派项目负责人具有工程师技术职称和建设部核发的造价工程师注册证书；</w:t>
      </w:r>
    </w:p>
    <w:p>
      <w:pPr>
        <w:pStyle w:val="19"/>
        <w:rPr>
          <w:rFonts w:hint="eastAsia"/>
          <w:color w:val="auto"/>
          <w:sz w:val="28"/>
          <w:szCs w:val="28"/>
          <w:highlight w:val="none"/>
        </w:rPr>
      </w:pPr>
      <w:r>
        <w:rPr>
          <w:rFonts w:hint="eastAsia" w:ascii="宋体" w:hAnsi="宋体"/>
          <w:color w:val="auto"/>
          <w:sz w:val="28"/>
          <w:szCs w:val="28"/>
          <w:highlight w:val="none"/>
        </w:rPr>
        <w:t>3、投标人须在招标公告发布之日起从“金华市建筑市场监督管理信息系统”中下载的《金华市建筑业企业信息表》，表中登记的企业资质等级、承包业务范围满足本工程招标要求，并注明可用于投标。</w:t>
      </w:r>
    </w:p>
    <w:p>
      <w:pPr>
        <w:spacing w:line="3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4、本次招标不接受联合体投标。</w:t>
      </w:r>
    </w:p>
    <w:p>
      <w:pPr>
        <w:snapToGrid w:val="0"/>
        <w:spacing w:line="400" w:lineRule="exact"/>
        <w:ind w:firstLine="482"/>
        <w:rPr>
          <w:rFonts w:ascii="宋体" w:hAnsi="宋体" w:cs="Arial"/>
          <w:b/>
          <w:color w:val="auto"/>
          <w:sz w:val="28"/>
          <w:szCs w:val="28"/>
          <w:highlight w:val="none"/>
        </w:rPr>
      </w:pPr>
      <w:r>
        <w:rPr>
          <w:rFonts w:hint="eastAsia" w:ascii="宋体" w:hAnsi="宋体" w:cs="Arial"/>
          <w:b/>
          <w:color w:val="auto"/>
          <w:sz w:val="28"/>
          <w:szCs w:val="28"/>
          <w:highlight w:val="none"/>
        </w:rPr>
        <w:t>六</w:t>
      </w:r>
      <w:r>
        <w:rPr>
          <w:rFonts w:ascii="宋体" w:hAnsi="宋体" w:cs="Arial"/>
          <w:b/>
          <w:color w:val="auto"/>
          <w:sz w:val="28"/>
          <w:szCs w:val="28"/>
          <w:highlight w:val="none"/>
        </w:rPr>
        <w:t>、招标文件的获取及报名方式</w:t>
      </w:r>
    </w:p>
    <w:p>
      <w:pPr>
        <w:snapToGrid w:val="0"/>
        <w:spacing w:line="400" w:lineRule="exact"/>
        <w:ind w:firstLine="480"/>
        <w:rPr>
          <w:rFonts w:ascii="宋体" w:hAnsi="宋体" w:cs="Arial"/>
          <w:b/>
          <w:bCs/>
          <w:color w:val="auto"/>
          <w:sz w:val="28"/>
          <w:szCs w:val="28"/>
          <w:highlight w:val="none"/>
        </w:rPr>
      </w:pPr>
      <w:r>
        <w:rPr>
          <w:rFonts w:ascii="宋体" w:hAnsi="宋体" w:cs="Arial"/>
          <w:bCs/>
          <w:color w:val="auto"/>
          <w:sz w:val="28"/>
          <w:szCs w:val="28"/>
          <w:highlight w:val="none"/>
        </w:rPr>
        <w:t>1、招标文件的获取：广厦大学网站公告栏下</w:t>
      </w:r>
      <w:r>
        <w:rPr>
          <w:rFonts w:ascii="宋体" w:hAnsi="宋体" w:cs="Arial"/>
          <w:color w:val="auto"/>
          <w:sz w:val="28"/>
          <w:szCs w:val="28"/>
          <w:highlight w:val="none"/>
        </w:rPr>
        <w:t>载http://www.guangshaxy.com/</w:t>
      </w:r>
    </w:p>
    <w:p>
      <w:pPr>
        <w:snapToGrid w:val="0"/>
        <w:spacing w:line="400" w:lineRule="exact"/>
        <w:ind w:firstLine="480"/>
        <w:rPr>
          <w:rFonts w:ascii="宋体" w:hAnsi="宋体" w:cs="Arial"/>
          <w:color w:val="auto"/>
          <w:sz w:val="28"/>
          <w:szCs w:val="28"/>
          <w:highlight w:val="none"/>
        </w:rPr>
      </w:pPr>
      <w:r>
        <w:rPr>
          <w:rFonts w:ascii="宋体" w:hAnsi="宋体" w:cs="Arial"/>
          <w:color w:val="auto"/>
          <w:sz w:val="28"/>
          <w:szCs w:val="28"/>
          <w:highlight w:val="none"/>
        </w:rPr>
        <w:t>2、招标文件报名截止日期：2021年</w:t>
      </w:r>
      <w:r>
        <w:rPr>
          <w:rFonts w:hint="eastAsia" w:ascii="宋体" w:hAnsi="宋体" w:cs="Arial"/>
          <w:color w:val="auto"/>
          <w:sz w:val="28"/>
          <w:szCs w:val="28"/>
          <w:highlight w:val="none"/>
        </w:rPr>
        <w:t>11</w:t>
      </w:r>
      <w:r>
        <w:rPr>
          <w:rFonts w:ascii="宋体" w:hAnsi="宋体" w:cs="Arial"/>
          <w:color w:val="auto"/>
          <w:sz w:val="28"/>
          <w:szCs w:val="28"/>
          <w:highlight w:val="none"/>
        </w:rPr>
        <w:t>月</w:t>
      </w:r>
      <w:r>
        <w:rPr>
          <w:rFonts w:hint="eastAsia" w:ascii="宋体" w:hAnsi="宋体" w:cs="Arial"/>
          <w:color w:val="auto"/>
          <w:sz w:val="28"/>
          <w:szCs w:val="28"/>
          <w:highlight w:val="none"/>
          <w:lang w:val="en-US" w:eastAsia="zh-CN"/>
        </w:rPr>
        <w:t>22</w:t>
      </w:r>
      <w:r>
        <w:rPr>
          <w:rFonts w:ascii="宋体" w:hAnsi="宋体" w:cs="Arial"/>
          <w:color w:val="auto"/>
          <w:sz w:val="28"/>
          <w:szCs w:val="28"/>
          <w:highlight w:val="none"/>
        </w:rPr>
        <w:t>日</w:t>
      </w:r>
      <w:r>
        <w:rPr>
          <w:rFonts w:hint="eastAsia" w:ascii="宋体" w:hAnsi="宋体" w:cs="Arial"/>
          <w:color w:val="auto"/>
          <w:sz w:val="28"/>
          <w:szCs w:val="28"/>
          <w:highlight w:val="none"/>
        </w:rPr>
        <w:t>1</w:t>
      </w:r>
      <w:r>
        <w:rPr>
          <w:rFonts w:hint="eastAsia" w:ascii="宋体" w:hAnsi="宋体" w:cs="Arial"/>
          <w:color w:val="auto"/>
          <w:sz w:val="28"/>
          <w:szCs w:val="28"/>
          <w:highlight w:val="none"/>
          <w:lang w:val="en-US" w:eastAsia="zh-CN"/>
        </w:rPr>
        <w:t>1</w:t>
      </w:r>
      <w:r>
        <w:rPr>
          <w:rFonts w:hint="eastAsia" w:ascii="宋体" w:hAnsi="宋体" w:cs="Arial"/>
          <w:color w:val="auto"/>
          <w:sz w:val="28"/>
          <w:szCs w:val="28"/>
          <w:highlight w:val="none"/>
        </w:rPr>
        <w:t>时</w:t>
      </w:r>
      <w:r>
        <w:rPr>
          <w:rFonts w:hint="eastAsia" w:ascii="宋体" w:hAnsi="宋体" w:cs="Arial"/>
          <w:color w:val="auto"/>
          <w:sz w:val="28"/>
          <w:szCs w:val="28"/>
          <w:highlight w:val="none"/>
          <w:lang w:val="en-US" w:eastAsia="zh-CN"/>
        </w:rPr>
        <w:t>0</w:t>
      </w:r>
      <w:r>
        <w:rPr>
          <w:rFonts w:hint="eastAsia" w:ascii="宋体" w:hAnsi="宋体" w:cs="Arial"/>
          <w:color w:val="auto"/>
          <w:sz w:val="28"/>
          <w:szCs w:val="28"/>
          <w:highlight w:val="none"/>
        </w:rPr>
        <w:t>0分</w:t>
      </w:r>
      <w:r>
        <w:rPr>
          <w:rFonts w:ascii="宋体" w:hAnsi="宋体" w:cs="Arial"/>
          <w:color w:val="auto"/>
          <w:sz w:val="28"/>
          <w:szCs w:val="28"/>
          <w:highlight w:val="none"/>
        </w:rPr>
        <w:t>前；</w:t>
      </w:r>
    </w:p>
    <w:p>
      <w:pPr>
        <w:snapToGrid w:val="0"/>
        <w:spacing w:line="400" w:lineRule="exact"/>
        <w:ind w:firstLine="540"/>
        <w:rPr>
          <w:rFonts w:ascii="宋体" w:hAnsi="宋体" w:cs="Arial"/>
          <w:color w:val="auto"/>
          <w:sz w:val="28"/>
          <w:szCs w:val="28"/>
          <w:highlight w:val="none"/>
        </w:rPr>
      </w:pPr>
      <w:r>
        <w:rPr>
          <w:rFonts w:ascii="宋体" w:hAnsi="宋体" w:cs="Arial"/>
          <w:color w:val="auto"/>
          <w:sz w:val="28"/>
          <w:szCs w:val="28"/>
          <w:highlight w:val="none"/>
        </w:rPr>
        <w:t xml:space="preserve">3、报名方式：  </w:t>
      </w:r>
      <w:r>
        <w:rPr>
          <w:rFonts w:hint="eastAsia" w:ascii="宋体" w:hAnsi="宋体" w:cs="Arial"/>
          <w:color w:val="auto"/>
          <w:sz w:val="28"/>
          <w:szCs w:val="28"/>
          <w:highlight w:val="none"/>
        </w:rPr>
        <w:t>采用邮箱</w:t>
      </w:r>
      <w:r>
        <w:rPr>
          <w:rFonts w:ascii="宋体" w:hAnsi="宋体" w:cs="Arial"/>
          <w:color w:val="auto"/>
          <w:sz w:val="28"/>
          <w:szCs w:val="28"/>
          <w:highlight w:val="none"/>
        </w:rPr>
        <w:t>报名</w:t>
      </w:r>
    </w:p>
    <w:p>
      <w:pPr>
        <w:snapToGrid w:val="0"/>
        <w:spacing w:line="400" w:lineRule="exact"/>
        <w:ind w:firstLine="540"/>
        <w:rPr>
          <w:rFonts w:ascii="宋体" w:hAnsi="宋体" w:cs="Arial"/>
          <w:color w:val="auto"/>
          <w:sz w:val="28"/>
          <w:szCs w:val="28"/>
          <w:highlight w:val="none"/>
        </w:rPr>
      </w:pPr>
      <w:r>
        <w:rPr>
          <w:rFonts w:ascii="宋体" w:hAnsi="宋体" w:cs="Arial"/>
          <w:color w:val="auto"/>
          <w:sz w:val="28"/>
          <w:szCs w:val="28"/>
          <w:highlight w:val="none"/>
        </w:rPr>
        <w:t>报名时间：2021年</w:t>
      </w:r>
      <w:r>
        <w:rPr>
          <w:rFonts w:hint="eastAsia" w:ascii="宋体" w:hAnsi="宋体" w:cs="Arial"/>
          <w:color w:val="auto"/>
          <w:sz w:val="28"/>
          <w:szCs w:val="28"/>
          <w:highlight w:val="none"/>
        </w:rPr>
        <w:t>11</w:t>
      </w:r>
      <w:r>
        <w:rPr>
          <w:rFonts w:ascii="宋体" w:hAnsi="宋体" w:cs="Arial"/>
          <w:color w:val="auto"/>
          <w:sz w:val="28"/>
          <w:szCs w:val="28"/>
          <w:highlight w:val="none"/>
        </w:rPr>
        <w:t>月</w:t>
      </w:r>
      <w:r>
        <w:rPr>
          <w:rFonts w:hint="eastAsia" w:ascii="宋体" w:hAnsi="宋体" w:cs="Arial"/>
          <w:color w:val="auto"/>
          <w:sz w:val="28"/>
          <w:szCs w:val="28"/>
          <w:highlight w:val="none"/>
          <w:lang w:val="en-US" w:eastAsia="zh-CN"/>
        </w:rPr>
        <w:t>22</w:t>
      </w:r>
      <w:r>
        <w:rPr>
          <w:rFonts w:ascii="宋体" w:hAnsi="宋体" w:cs="Arial"/>
          <w:color w:val="auto"/>
          <w:sz w:val="28"/>
          <w:szCs w:val="28"/>
          <w:highlight w:val="none"/>
        </w:rPr>
        <w:t>日</w:t>
      </w:r>
      <w:r>
        <w:rPr>
          <w:rFonts w:hint="eastAsia" w:ascii="宋体" w:hAnsi="宋体" w:cs="Arial"/>
          <w:color w:val="auto"/>
          <w:sz w:val="28"/>
          <w:szCs w:val="28"/>
          <w:highlight w:val="none"/>
          <w:lang w:val="en-US" w:eastAsia="zh-CN"/>
        </w:rPr>
        <w:t>11</w:t>
      </w:r>
      <w:r>
        <w:rPr>
          <w:rFonts w:hint="eastAsia" w:ascii="宋体" w:hAnsi="宋体" w:cs="Arial"/>
          <w:color w:val="auto"/>
          <w:sz w:val="28"/>
          <w:szCs w:val="28"/>
          <w:highlight w:val="none"/>
        </w:rPr>
        <w:t>：</w:t>
      </w:r>
      <w:r>
        <w:rPr>
          <w:rFonts w:hint="eastAsia" w:ascii="宋体" w:hAnsi="宋体" w:cs="Arial"/>
          <w:color w:val="auto"/>
          <w:sz w:val="28"/>
          <w:szCs w:val="28"/>
          <w:highlight w:val="none"/>
          <w:lang w:val="en-US" w:eastAsia="zh-CN"/>
        </w:rPr>
        <w:t>0</w:t>
      </w:r>
      <w:r>
        <w:rPr>
          <w:rFonts w:hint="eastAsia" w:ascii="宋体" w:hAnsi="宋体" w:cs="Arial"/>
          <w:color w:val="auto"/>
          <w:sz w:val="28"/>
          <w:szCs w:val="28"/>
          <w:highlight w:val="none"/>
        </w:rPr>
        <w:t>0前</w:t>
      </w:r>
      <w:r>
        <w:rPr>
          <w:rFonts w:ascii="宋体" w:hAnsi="宋体" w:cs="Arial"/>
          <w:color w:val="auto"/>
          <w:sz w:val="28"/>
          <w:szCs w:val="28"/>
          <w:highlight w:val="none"/>
        </w:rPr>
        <w:t>。</w:t>
      </w:r>
      <w:r>
        <w:rPr>
          <w:rFonts w:hint="eastAsia" w:ascii="宋体" w:hAnsi="宋体" w:cs="宋体"/>
          <w:color w:val="auto"/>
          <w:sz w:val="28"/>
          <w:szCs w:val="28"/>
          <w:highlight w:val="none"/>
        </w:rPr>
        <w:t>报名可通</w:t>
      </w:r>
      <w:r>
        <w:rPr>
          <w:rFonts w:ascii="宋体" w:hAnsi="宋体" w:cs="宋体"/>
          <w:color w:val="auto"/>
          <w:sz w:val="28"/>
          <w:szCs w:val="28"/>
          <w:highlight w:val="none"/>
        </w:rPr>
        <w:t>过邮箱方式</w:t>
      </w:r>
      <w:r>
        <w:rPr>
          <w:rFonts w:hint="eastAsia" w:ascii="宋体" w:hAnsi="宋体" w:cs="宋体"/>
          <w:color w:val="auto"/>
          <w:sz w:val="28"/>
          <w:szCs w:val="28"/>
          <w:highlight w:val="none"/>
        </w:rPr>
        <w:t>至浙江广厦建设职业技术大学招标中心213办公室</w:t>
      </w:r>
      <w:r>
        <w:rPr>
          <w:rFonts w:ascii="宋体" w:hAnsi="宋体" w:cs="宋体"/>
          <w:color w:val="auto"/>
          <w:sz w:val="28"/>
          <w:szCs w:val="28"/>
          <w:highlight w:val="none"/>
        </w:rPr>
        <w:t>（</w:t>
      </w:r>
      <w:r>
        <w:rPr>
          <w:rFonts w:hint="eastAsia" w:ascii="宋体" w:hAnsi="宋体" w:cs="宋体"/>
          <w:color w:val="auto"/>
          <w:sz w:val="28"/>
          <w:szCs w:val="28"/>
          <w:highlight w:val="none"/>
        </w:rPr>
        <w:t>电话</w:t>
      </w:r>
      <w:r>
        <w:rPr>
          <w:rFonts w:ascii="宋体" w:hAnsi="宋体" w:cs="宋体"/>
          <w:color w:val="auto"/>
          <w:sz w:val="28"/>
          <w:szCs w:val="28"/>
          <w:highlight w:val="none"/>
        </w:rPr>
        <w:t>：0579-866</w:t>
      </w:r>
      <w:r>
        <w:rPr>
          <w:rFonts w:hint="eastAsia" w:ascii="宋体" w:hAnsi="宋体" w:cs="宋体"/>
          <w:color w:val="auto"/>
          <w:sz w:val="28"/>
          <w:szCs w:val="28"/>
          <w:highlight w:val="none"/>
        </w:rPr>
        <w:t>64725</w:t>
      </w:r>
      <w:r>
        <w:rPr>
          <w:rFonts w:ascii="宋体" w:hAnsi="宋体" w:cs="宋体"/>
          <w:color w:val="auto"/>
          <w:sz w:val="28"/>
          <w:szCs w:val="28"/>
          <w:highlight w:val="none"/>
        </w:rPr>
        <w:t>，邮箱：</w:t>
      </w:r>
      <w:r>
        <w:rPr>
          <w:rFonts w:hint="eastAsia" w:ascii="宋体" w:hAnsi="宋体" w:cs="宋体"/>
          <w:color w:val="auto"/>
          <w:sz w:val="28"/>
          <w:szCs w:val="28"/>
          <w:highlight w:val="none"/>
        </w:rPr>
        <w:t>953715462</w:t>
      </w:r>
      <w:r>
        <w:rPr>
          <w:rFonts w:ascii="宋体" w:hAnsi="宋体" w:cs="宋体"/>
          <w:color w:val="auto"/>
          <w:sz w:val="28"/>
          <w:szCs w:val="28"/>
          <w:highlight w:val="none"/>
        </w:rPr>
        <w:t>@qq.com）</w:t>
      </w:r>
      <w:r>
        <w:rPr>
          <w:rFonts w:hint="eastAsia" w:ascii="宋体" w:hAnsi="宋体" w:cs="Arial"/>
          <w:color w:val="auto"/>
          <w:sz w:val="28"/>
          <w:szCs w:val="28"/>
          <w:highlight w:val="none"/>
        </w:rPr>
        <w:t>。</w:t>
      </w:r>
    </w:p>
    <w:p>
      <w:pPr>
        <w:snapToGrid w:val="0"/>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报名资料；</w:t>
      </w:r>
    </w:p>
    <w:p>
      <w:pPr>
        <w:snapToGrid w:val="0"/>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1.有效的企业法人营业执照副本原件扫描件；或提供东阳分公司营业执照副本原件扫描件；</w:t>
      </w:r>
    </w:p>
    <w:p>
      <w:pPr>
        <w:snapToGrid w:val="0"/>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2.工程造价咨询资质证书原件扫描件；</w:t>
      </w:r>
    </w:p>
    <w:p>
      <w:pPr>
        <w:snapToGrid w:val="0"/>
        <w:spacing w:line="420" w:lineRule="exact"/>
        <w:ind w:firstLine="560" w:firstLineChars="200"/>
        <w:rPr>
          <w:rFonts w:hint="eastAsia" w:ascii="宋体" w:hAnsi="宋体" w:cs="Times New Roman"/>
          <w:color w:val="auto"/>
          <w:sz w:val="28"/>
          <w:szCs w:val="28"/>
          <w:highlight w:val="none"/>
        </w:rPr>
      </w:pPr>
      <w:r>
        <w:rPr>
          <w:rFonts w:hint="eastAsia" w:ascii="宋体" w:hAnsi="宋体"/>
          <w:color w:val="auto"/>
          <w:sz w:val="28"/>
          <w:szCs w:val="28"/>
          <w:highlight w:val="none"/>
        </w:rPr>
        <w:t>3.</w:t>
      </w:r>
      <w:r>
        <w:rPr>
          <w:rFonts w:hint="eastAsia" w:ascii="宋体" w:hAnsi="宋体" w:cs="Times New Roman"/>
          <w:color w:val="auto"/>
          <w:sz w:val="28"/>
          <w:szCs w:val="28"/>
          <w:highlight w:val="none"/>
          <w:lang w:val="en-US" w:eastAsia="zh-CN"/>
        </w:rPr>
        <w:t>投标确认函。</w:t>
      </w:r>
    </w:p>
    <w:p>
      <w:pPr>
        <w:spacing w:line="400" w:lineRule="exact"/>
        <w:ind w:firstLine="482"/>
        <w:rPr>
          <w:rFonts w:ascii="宋体" w:hAnsi="宋体" w:cs="Arial"/>
          <w:b/>
          <w:bCs/>
          <w:color w:val="auto"/>
          <w:sz w:val="28"/>
          <w:szCs w:val="28"/>
          <w:highlight w:val="none"/>
        </w:rPr>
      </w:pPr>
      <w:r>
        <w:rPr>
          <w:rFonts w:hint="eastAsia" w:ascii="宋体" w:hAnsi="宋体" w:cs="Arial"/>
          <w:b/>
          <w:bCs/>
          <w:color w:val="auto"/>
          <w:sz w:val="28"/>
          <w:szCs w:val="28"/>
          <w:highlight w:val="none"/>
        </w:rPr>
        <w:t>七</w:t>
      </w:r>
      <w:r>
        <w:rPr>
          <w:rFonts w:ascii="宋体" w:hAnsi="宋体" w:cs="Arial"/>
          <w:b/>
          <w:bCs/>
          <w:color w:val="auto"/>
          <w:sz w:val="28"/>
          <w:szCs w:val="28"/>
          <w:highlight w:val="none"/>
        </w:rPr>
        <w:t>、投标截止时间和地点：</w:t>
      </w:r>
    </w:p>
    <w:p>
      <w:pPr>
        <w:spacing w:line="440" w:lineRule="exact"/>
        <w:ind w:firstLine="700" w:firstLineChars="250"/>
        <w:rPr>
          <w:rFonts w:ascii="宋体" w:hAnsi="宋体" w:cs="Arial"/>
          <w:color w:val="auto"/>
          <w:sz w:val="28"/>
          <w:szCs w:val="28"/>
          <w:highlight w:val="none"/>
        </w:rPr>
      </w:pPr>
      <w:r>
        <w:rPr>
          <w:rFonts w:hint="eastAsia" w:ascii="宋体" w:hAnsi="宋体"/>
          <w:color w:val="auto"/>
          <w:sz w:val="28"/>
          <w:szCs w:val="28"/>
          <w:highlight w:val="none"/>
        </w:rPr>
        <w:t>投标文件、法定代表人授权委托书（格式见附件）及投标人代表身份证复印件采用现场</w:t>
      </w:r>
      <w:r>
        <w:rPr>
          <w:rFonts w:hint="eastAsia" w:ascii="宋体" w:hAnsi="宋体" w:cs="Arial"/>
          <w:color w:val="auto"/>
          <w:sz w:val="28"/>
          <w:szCs w:val="28"/>
          <w:highlight w:val="none"/>
        </w:rPr>
        <w:t>递交至</w:t>
      </w:r>
      <w:r>
        <w:rPr>
          <w:rFonts w:ascii="宋体" w:hAnsi="宋体" w:cs="Arial"/>
          <w:color w:val="auto"/>
          <w:sz w:val="28"/>
          <w:szCs w:val="28"/>
          <w:highlight w:val="none"/>
        </w:rPr>
        <w:t>浙江广厦建设职业技术大学</w:t>
      </w:r>
      <w:r>
        <w:rPr>
          <w:rFonts w:hint="eastAsia" w:ascii="宋体" w:hAnsi="宋体" w:cs="Arial"/>
          <w:color w:val="auto"/>
          <w:sz w:val="28"/>
          <w:szCs w:val="28"/>
          <w:highlight w:val="none"/>
        </w:rPr>
        <w:t>东门门卫</w:t>
      </w:r>
      <w:r>
        <w:rPr>
          <w:rFonts w:hint="eastAsia" w:ascii="宋体" w:hAnsi="宋体"/>
          <w:color w:val="auto"/>
          <w:sz w:val="28"/>
          <w:szCs w:val="28"/>
          <w:highlight w:val="none"/>
        </w:rPr>
        <w:t>；截止时间：2021年</w:t>
      </w:r>
      <w:r>
        <w:rPr>
          <w:rFonts w:hint="eastAsia" w:ascii="宋体" w:hAnsi="宋体"/>
          <w:color w:val="auto"/>
          <w:sz w:val="28"/>
          <w:szCs w:val="28"/>
          <w:highlight w:val="none"/>
          <w:lang w:eastAsia="zh-CN"/>
        </w:rPr>
        <w:t>11月22日</w:t>
      </w: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11:00</w:t>
      </w:r>
      <w:r>
        <w:rPr>
          <w:rFonts w:hint="eastAsia" w:ascii="宋体" w:hAnsi="宋体"/>
          <w:color w:val="auto"/>
          <w:sz w:val="28"/>
          <w:szCs w:val="28"/>
          <w:highlight w:val="none"/>
        </w:rPr>
        <w:t>前。</w:t>
      </w:r>
    </w:p>
    <w:p>
      <w:pPr>
        <w:snapToGrid w:val="0"/>
        <w:spacing w:line="400" w:lineRule="exact"/>
        <w:ind w:firstLine="420"/>
        <w:rPr>
          <w:rFonts w:ascii="宋体" w:hAnsi="宋体" w:cs="Arial"/>
          <w:color w:val="auto"/>
          <w:sz w:val="28"/>
          <w:szCs w:val="28"/>
          <w:highlight w:val="none"/>
        </w:rPr>
      </w:pPr>
      <w:r>
        <w:rPr>
          <w:rFonts w:ascii="宋体" w:hAnsi="宋体" w:cs="Arial"/>
          <w:color w:val="auto"/>
          <w:sz w:val="28"/>
          <w:szCs w:val="28"/>
          <w:highlight w:val="none"/>
        </w:rPr>
        <w:t>开标</w:t>
      </w:r>
      <w:r>
        <w:rPr>
          <w:rFonts w:hint="eastAsia" w:ascii="宋体" w:hAnsi="宋体" w:cs="Arial"/>
          <w:color w:val="auto"/>
          <w:sz w:val="28"/>
          <w:szCs w:val="28"/>
          <w:highlight w:val="none"/>
        </w:rPr>
        <w:t>地址：</w:t>
      </w:r>
      <w:r>
        <w:rPr>
          <w:rFonts w:ascii="宋体" w:hAnsi="宋体" w:cs="Arial"/>
          <w:color w:val="auto"/>
          <w:sz w:val="28"/>
          <w:szCs w:val="28"/>
          <w:highlight w:val="none"/>
        </w:rPr>
        <w:t>浙江广厦建设职业技术大学综合楼603开标室。</w:t>
      </w:r>
    </w:p>
    <w:p>
      <w:pPr>
        <w:snapToGrid w:val="0"/>
        <w:spacing w:line="400" w:lineRule="exact"/>
        <w:ind w:firstLine="540"/>
        <w:rPr>
          <w:rFonts w:ascii="宋体" w:hAnsi="宋体" w:cs="Arial"/>
          <w:b/>
          <w:bCs/>
          <w:color w:val="auto"/>
          <w:sz w:val="28"/>
          <w:szCs w:val="28"/>
          <w:highlight w:val="none"/>
        </w:rPr>
      </w:pPr>
      <w:r>
        <w:rPr>
          <w:rFonts w:ascii="宋体" w:hAnsi="宋体" w:cs="宋体"/>
          <w:color w:val="auto"/>
          <w:sz w:val="28"/>
          <w:szCs w:val="28"/>
          <w:highlight w:val="none"/>
        </w:rPr>
        <w:t>▲</w:t>
      </w:r>
      <w:r>
        <w:rPr>
          <w:rFonts w:hint="eastAsia" w:ascii="宋体" w:hAnsi="宋体" w:cs="Arial"/>
          <w:b/>
          <w:bCs/>
          <w:color w:val="auto"/>
          <w:sz w:val="28"/>
          <w:szCs w:val="28"/>
          <w:highlight w:val="none"/>
        </w:rPr>
        <w:t>八</w:t>
      </w:r>
      <w:r>
        <w:rPr>
          <w:rFonts w:ascii="宋体" w:hAnsi="宋体" w:cs="Arial"/>
          <w:b/>
          <w:bCs/>
          <w:color w:val="auto"/>
          <w:sz w:val="28"/>
          <w:szCs w:val="28"/>
          <w:highlight w:val="none"/>
        </w:rPr>
        <w:t>、开标时间及地点：</w:t>
      </w:r>
    </w:p>
    <w:p>
      <w:pPr>
        <w:snapToGrid w:val="0"/>
        <w:spacing w:line="400" w:lineRule="exact"/>
        <w:ind w:firstLine="420"/>
        <w:rPr>
          <w:rFonts w:ascii="宋体" w:hAnsi="宋体" w:cs="Arial"/>
          <w:color w:val="auto"/>
          <w:sz w:val="28"/>
          <w:szCs w:val="28"/>
          <w:highlight w:val="none"/>
        </w:rPr>
      </w:pPr>
      <w:r>
        <w:rPr>
          <w:rFonts w:ascii="宋体" w:hAnsi="宋体" w:cs="Arial"/>
          <w:color w:val="auto"/>
          <w:sz w:val="28"/>
          <w:szCs w:val="28"/>
          <w:highlight w:val="none"/>
        </w:rPr>
        <w:t>开标时间为：2021年</w:t>
      </w:r>
      <w:r>
        <w:rPr>
          <w:rFonts w:hint="eastAsia" w:ascii="宋体" w:hAnsi="宋体" w:cs="Arial"/>
          <w:color w:val="auto"/>
          <w:sz w:val="28"/>
          <w:szCs w:val="28"/>
          <w:highlight w:val="none"/>
        </w:rPr>
        <w:t>11</w:t>
      </w:r>
      <w:r>
        <w:rPr>
          <w:rFonts w:ascii="宋体" w:hAnsi="宋体" w:cs="Arial"/>
          <w:color w:val="auto"/>
          <w:sz w:val="28"/>
          <w:szCs w:val="28"/>
          <w:highlight w:val="none"/>
        </w:rPr>
        <w:t>月</w:t>
      </w:r>
      <w:r>
        <w:rPr>
          <w:rFonts w:hint="eastAsia" w:ascii="宋体" w:hAnsi="宋体" w:cs="Arial"/>
          <w:color w:val="auto"/>
          <w:sz w:val="28"/>
          <w:szCs w:val="28"/>
          <w:highlight w:val="none"/>
          <w:lang w:val="en-US" w:eastAsia="zh-CN"/>
        </w:rPr>
        <w:t>22</w:t>
      </w:r>
      <w:r>
        <w:rPr>
          <w:rFonts w:ascii="宋体" w:hAnsi="宋体" w:cs="Arial"/>
          <w:color w:val="auto"/>
          <w:sz w:val="28"/>
          <w:szCs w:val="28"/>
          <w:highlight w:val="none"/>
        </w:rPr>
        <w:t>日</w:t>
      </w:r>
      <w:r>
        <w:rPr>
          <w:rFonts w:hint="eastAsia" w:ascii="宋体" w:hAnsi="宋体" w:cs="Arial"/>
          <w:color w:val="auto"/>
          <w:sz w:val="28"/>
          <w:szCs w:val="28"/>
          <w:highlight w:val="none"/>
          <w:lang w:val="en-US" w:eastAsia="zh-CN"/>
        </w:rPr>
        <w:t>14</w:t>
      </w:r>
      <w:r>
        <w:rPr>
          <w:rFonts w:ascii="宋体" w:hAnsi="宋体" w:cs="Arial"/>
          <w:color w:val="auto"/>
          <w:sz w:val="28"/>
          <w:szCs w:val="28"/>
          <w:highlight w:val="none"/>
        </w:rPr>
        <w:t>时</w:t>
      </w:r>
      <w:r>
        <w:rPr>
          <w:rFonts w:hint="eastAsia" w:ascii="宋体" w:hAnsi="宋体" w:cs="Arial"/>
          <w:color w:val="auto"/>
          <w:sz w:val="28"/>
          <w:szCs w:val="28"/>
          <w:highlight w:val="none"/>
          <w:lang w:val="en-US" w:eastAsia="zh-CN"/>
        </w:rPr>
        <w:t>0</w:t>
      </w:r>
      <w:r>
        <w:rPr>
          <w:rFonts w:hint="eastAsia" w:ascii="宋体" w:hAnsi="宋体" w:cs="Arial"/>
          <w:color w:val="auto"/>
          <w:sz w:val="28"/>
          <w:szCs w:val="28"/>
          <w:highlight w:val="none"/>
        </w:rPr>
        <w:t>0</w:t>
      </w:r>
      <w:r>
        <w:rPr>
          <w:rFonts w:ascii="宋体" w:hAnsi="宋体" w:cs="Arial"/>
          <w:color w:val="auto"/>
          <w:sz w:val="28"/>
          <w:szCs w:val="28"/>
          <w:highlight w:val="none"/>
        </w:rPr>
        <w:t xml:space="preserve">分； </w:t>
      </w:r>
    </w:p>
    <w:p>
      <w:pPr>
        <w:snapToGrid w:val="0"/>
        <w:spacing w:line="420" w:lineRule="exact"/>
        <w:ind w:firstLine="420"/>
        <w:rPr>
          <w:color w:val="auto"/>
          <w:sz w:val="28"/>
          <w:szCs w:val="28"/>
          <w:highlight w:val="none"/>
        </w:rPr>
      </w:pPr>
      <w:r>
        <w:rPr>
          <w:rFonts w:hint="eastAsia" w:ascii="宋体" w:hAnsi="宋体" w:cs="Arial"/>
          <w:color w:val="auto"/>
          <w:sz w:val="28"/>
          <w:szCs w:val="28"/>
          <w:highlight w:val="none"/>
        </w:rPr>
        <w:t>本项目采用不见面开标的形式开标，投标人自行下载钉钉，在开标截止时间前30分钟内，加群并开启钉钉视频直播，对开标现场情况进行全程直播。</w:t>
      </w:r>
    </w:p>
    <w:p>
      <w:pPr>
        <w:snapToGrid w:val="0"/>
        <w:spacing w:line="400" w:lineRule="exact"/>
        <w:ind w:firstLine="542"/>
        <w:rPr>
          <w:rFonts w:ascii="宋体" w:hAnsi="宋体" w:cs="Arial"/>
          <w:b/>
          <w:bCs/>
          <w:color w:val="auto"/>
          <w:sz w:val="28"/>
          <w:szCs w:val="28"/>
          <w:highlight w:val="none"/>
        </w:rPr>
      </w:pPr>
      <w:r>
        <w:rPr>
          <w:rFonts w:hint="eastAsia" w:ascii="宋体" w:hAnsi="宋体" w:cs="Arial"/>
          <w:b/>
          <w:bCs/>
          <w:color w:val="auto"/>
          <w:sz w:val="28"/>
          <w:szCs w:val="28"/>
          <w:highlight w:val="none"/>
        </w:rPr>
        <w:t>九</w:t>
      </w:r>
      <w:r>
        <w:rPr>
          <w:rFonts w:ascii="宋体" w:hAnsi="宋体" w:cs="Arial"/>
          <w:b/>
          <w:bCs/>
          <w:color w:val="auto"/>
          <w:sz w:val="28"/>
          <w:szCs w:val="28"/>
          <w:highlight w:val="none"/>
        </w:rPr>
        <w:t>、业务咨询：</w:t>
      </w:r>
    </w:p>
    <w:p>
      <w:pPr>
        <w:snapToGrid w:val="0"/>
        <w:spacing w:line="400" w:lineRule="exact"/>
        <w:ind w:firstLine="420"/>
        <w:rPr>
          <w:rFonts w:ascii="宋体" w:hAnsi="宋体" w:cs="Arial"/>
          <w:color w:val="auto"/>
          <w:sz w:val="28"/>
          <w:szCs w:val="28"/>
          <w:highlight w:val="none"/>
        </w:rPr>
      </w:pPr>
      <w:r>
        <w:rPr>
          <w:rFonts w:ascii="宋体" w:hAnsi="宋体" w:cs="Arial"/>
          <w:color w:val="auto"/>
          <w:sz w:val="28"/>
          <w:szCs w:val="28"/>
          <w:highlight w:val="none"/>
        </w:rPr>
        <w:t>浙江广厦建设职业技术大学          联系人：</w:t>
      </w:r>
      <w:r>
        <w:rPr>
          <w:rFonts w:hint="eastAsia" w:ascii="宋体" w:hAnsi="宋体" w:cs="Arial"/>
          <w:color w:val="auto"/>
          <w:sz w:val="28"/>
          <w:szCs w:val="28"/>
          <w:highlight w:val="none"/>
        </w:rPr>
        <w:t>林</w:t>
      </w:r>
      <w:r>
        <w:rPr>
          <w:rFonts w:ascii="宋体" w:hAnsi="宋体" w:cs="Arial"/>
          <w:color w:val="auto"/>
          <w:sz w:val="28"/>
          <w:szCs w:val="28"/>
          <w:highlight w:val="none"/>
        </w:rPr>
        <w:t xml:space="preserve">老师     </w:t>
      </w:r>
    </w:p>
    <w:p>
      <w:pPr>
        <w:snapToGrid w:val="0"/>
        <w:spacing w:line="400" w:lineRule="exact"/>
        <w:ind w:firstLine="420"/>
        <w:rPr>
          <w:rFonts w:ascii="宋体" w:hAnsi="宋体" w:cs="宋体"/>
          <w:color w:val="auto"/>
          <w:sz w:val="28"/>
          <w:szCs w:val="28"/>
          <w:highlight w:val="none"/>
        </w:rPr>
      </w:pPr>
      <w:r>
        <w:rPr>
          <w:rFonts w:ascii="宋体" w:hAnsi="宋体" w:cs="Arial"/>
          <w:color w:val="auto"/>
          <w:sz w:val="28"/>
          <w:szCs w:val="28"/>
          <w:highlight w:val="none"/>
        </w:rPr>
        <w:t>联系电话：</w:t>
      </w:r>
      <w:r>
        <w:rPr>
          <w:rFonts w:ascii="宋体" w:hAnsi="宋体" w:cs="宋体"/>
          <w:color w:val="auto"/>
          <w:sz w:val="28"/>
          <w:szCs w:val="28"/>
          <w:highlight w:val="none"/>
        </w:rPr>
        <w:t>0579-866</w:t>
      </w:r>
      <w:r>
        <w:rPr>
          <w:rFonts w:hint="eastAsia" w:ascii="宋体" w:hAnsi="宋体" w:cs="宋体"/>
          <w:color w:val="auto"/>
          <w:sz w:val="28"/>
          <w:szCs w:val="28"/>
          <w:highlight w:val="none"/>
        </w:rPr>
        <w:t>64725</w:t>
      </w:r>
    </w:p>
    <w:p>
      <w:pPr>
        <w:pStyle w:val="14"/>
        <w:spacing w:line="400" w:lineRule="exact"/>
        <w:ind w:firstLine="280"/>
        <w:rPr>
          <w:color w:val="auto"/>
          <w:sz w:val="28"/>
          <w:szCs w:val="28"/>
          <w:highlight w:val="none"/>
        </w:rPr>
      </w:pPr>
    </w:p>
    <w:p>
      <w:pPr>
        <w:pStyle w:val="12"/>
        <w:rPr>
          <w:color w:val="auto"/>
          <w:highlight w:val="none"/>
        </w:rPr>
      </w:pPr>
    </w:p>
    <w:p>
      <w:pPr>
        <w:rPr>
          <w:color w:val="auto"/>
          <w:highlight w:val="none"/>
        </w:rPr>
      </w:pPr>
    </w:p>
    <w:p>
      <w:pPr>
        <w:snapToGrid w:val="0"/>
        <w:spacing w:line="400" w:lineRule="exact"/>
        <w:ind w:left="238"/>
        <w:jc w:val="center"/>
        <w:rPr>
          <w:rFonts w:ascii="宋体" w:hAnsi="宋体" w:cs="宋体"/>
          <w:b/>
          <w:color w:val="auto"/>
          <w:sz w:val="24"/>
          <w:highlight w:val="none"/>
        </w:rPr>
      </w:pPr>
      <w:r>
        <w:rPr>
          <w:rFonts w:hint="eastAsia" w:ascii="宋体" w:hAnsi="宋体" w:cs="宋体"/>
          <w:b/>
          <w:color w:val="auto"/>
          <w:sz w:val="24"/>
          <w:highlight w:val="none"/>
          <w:lang w:val="en-US" w:eastAsia="zh-CN"/>
        </w:rPr>
        <w:t xml:space="preserve">                                  </w:t>
      </w:r>
      <w:r>
        <w:rPr>
          <w:rFonts w:ascii="宋体" w:hAnsi="宋体" w:cs="宋体"/>
          <w:b/>
          <w:color w:val="auto"/>
          <w:sz w:val="24"/>
          <w:highlight w:val="none"/>
        </w:rPr>
        <w:t>浙江广厦建设职业技术大学</w:t>
      </w:r>
    </w:p>
    <w:p>
      <w:pPr>
        <w:snapToGrid w:val="0"/>
        <w:spacing w:line="400" w:lineRule="exact"/>
        <w:ind w:firstLine="6252" w:firstLineChars="2595"/>
        <w:rPr>
          <w:rFonts w:ascii="宋体" w:hAnsi="宋体" w:cs="宋体"/>
          <w:color w:val="auto"/>
          <w:sz w:val="24"/>
          <w:highlight w:val="none"/>
        </w:rPr>
      </w:pPr>
      <w:r>
        <w:rPr>
          <w:rFonts w:ascii="宋体" w:hAnsi="宋体" w:cs="宋体"/>
          <w:b/>
          <w:color w:val="auto"/>
          <w:sz w:val="24"/>
          <w:highlight w:val="none"/>
        </w:rPr>
        <w:t>2021年</w:t>
      </w:r>
      <w:r>
        <w:rPr>
          <w:rFonts w:hint="eastAsia" w:ascii="宋体" w:hAnsi="宋体" w:cs="宋体"/>
          <w:b/>
          <w:color w:val="auto"/>
          <w:sz w:val="24"/>
          <w:highlight w:val="none"/>
        </w:rPr>
        <w:t>11</w:t>
      </w:r>
      <w:r>
        <w:rPr>
          <w:rFonts w:ascii="宋体" w:hAnsi="宋体" w:cs="宋体"/>
          <w:b/>
          <w:color w:val="auto"/>
          <w:sz w:val="24"/>
          <w:highlight w:val="none"/>
        </w:rPr>
        <w:t>月</w:t>
      </w:r>
      <w:r>
        <w:rPr>
          <w:rFonts w:hint="eastAsia" w:ascii="宋体" w:hAnsi="宋体" w:cs="宋体"/>
          <w:b/>
          <w:color w:val="auto"/>
          <w:sz w:val="24"/>
          <w:highlight w:val="none"/>
        </w:rPr>
        <w:t>8</w:t>
      </w:r>
      <w:r>
        <w:rPr>
          <w:rFonts w:ascii="宋体" w:hAnsi="宋体" w:cs="宋体"/>
          <w:b/>
          <w:color w:val="auto"/>
          <w:sz w:val="24"/>
          <w:highlight w:val="none"/>
        </w:rPr>
        <w:t>日</w:t>
      </w:r>
    </w:p>
    <w:p>
      <w:pPr>
        <w:rPr>
          <w:rFonts w:ascii="黑体" w:hAnsi="黑体" w:eastAsia="黑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spacing w:line="360" w:lineRule="exact"/>
        <w:ind w:firstLine="7280" w:firstLineChars="2600"/>
        <w:rPr>
          <w:rFonts w:ascii="宋体" w:hAnsi="宋体"/>
          <w:color w:val="auto"/>
          <w:sz w:val="28"/>
          <w:szCs w:val="28"/>
          <w:highlight w:val="none"/>
        </w:rPr>
      </w:pPr>
    </w:p>
    <w:p>
      <w:pPr>
        <w:pStyle w:val="19"/>
        <w:rPr>
          <w:rFonts w:hint="eastAsia"/>
          <w:color w:val="auto"/>
          <w:highlight w:val="none"/>
        </w:rPr>
      </w:pPr>
    </w:p>
    <w:p>
      <w:pPr>
        <w:pStyle w:val="19"/>
        <w:ind w:left="0" w:leftChars="0" w:firstLine="0" w:firstLineChars="0"/>
        <w:rPr>
          <w:rFonts w:hint="eastAsia"/>
          <w:color w:val="auto"/>
          <w:highlight w:val="none"/>
        </w:rPr>
      </w:pPr>
    </w:p>
    <w:p>
      <w:pPr>
        <w:pageBreakBefore/>
        <w:rPr>
          <w:rFonts w:hint="eastAsia" w:ascii="黑体" w:eastAsia="黑体"/>
          <w:color w:val="auto"/>
          <w:sz w:val="28"/>
          <w:szCs w:val="28"/>
          <w:highlight w:val="none"/>
        </w:rPr>
      </w:pPr>
      <w:r>
        <w:rPr>
          <w:rFonts w:hint="eastAsia" w:ascii="黑体" w:eastAsia="黑体"/>
          <w:color w:val="auto"/>
          <w:sz w:val="28"/>
          <w:szCs w:val="28"/>
          <w:highlight w:val="none"/>
        </w:rPr>
        <w:t xml:space="preserve">附：                   </w:t>
      </w:r>
    </w:p>
    <w:p>
      <w:pPr>
        <w:jc w:val="center"/>
        <w:rPr>
          <w:rFonts w:hint="eastAsia" w:ascii="宋体" w:hAnsi="宋体"/>
          <w:b/>
          <w:color w:val="auto"/>
          <w:sz w:val="48"/>
          <w:szCs w:val="48"/>
          <w:highlight w:val="none"/>
        </w:rPr>
      </w:pPr>
      <w:r>
        <w:rPr>
          <w:rFonts w:hint="eastAsia" w:ascii="宋体" w:hAnsi="宋体"/>
          <w:b/>
          <w:color w:val="auto"/>
          <w:sz w:val="36"/>
          <w:szCs w:val="36"/>
          <w:highlight w:val="none"/>
        </w:rPr>
        <w:t>投 标 确 认 函</w:t>
      </w:r>
    </w:p>
    <w:p>
      <w:pPr>
        <w:spacing w:line="500" w:lineRule="exact"/>
        <w:rPr>
          <w:rFonts w:hint="eastAsia" w:ascii="宋体" w:hAnsi="宋体"/>
          <w:b/>
          <w:bCs/>
          <w:color w:val="auto"/>
          <w:sz w:val="28"/>
          <w:szCs w:val="28"/>
          <w:highlight w:val="none"/>
        </w:rPr>
      </w:pPr>
      <w:r>
        <w:rPr>
          <w:rFonts w:hint="eastAsia" w:hAnsi="宋体"/>
          <w:bCs/>
          <w:color w:val="auto"/>
          <w:sz w:val="28"/>
          <w:szCs w:val="28"/>
          <w:highlight w:val="none"/>
          <w:u w:val="single"/>
        </w:rPr>
        <w:t>浙江广厦建设职业技术大学</w:t>
      </w:r>
      <w:r>
        <w:rPr>
          <w:rFonts w:hint="eastAsia" w:ascii="宋体" w:hAnsi="宋体"/>
          <w:bCs/>
          <w:color w:val="auto"/>
          <w:sz w:val="28"/>
          <w:szCs w:val="28"/>
          <w:highlight w:val="none"/>
          <w:u w:val="single"/>
        </w:rPr>
        <w:t>：</w:t>
      </w:r>
    </w:p>
    <w:p>
      <w:pPr>
        <w:spacing w:line="500" w:lineRule="exact"/>
        <w:ind w:firstLine="573"/>
        <w:rPr>
          <w:rFonts w:hint="eastAsia" w:ascii="宋体" w:hAnsi="宋体"/>
          <w:color w:val="auto"/>
          <w:sz w:val="28"/>
          <w:szCs w:val="28"/>
          <w:highlight w:val="none"/>
          <w:u w:val="single"/>
        </w:rPr>
      </w:pPr>
      <w:r>
        <w:rPr>
          <w:rFonts w:hint="eastAsia" w:ascii="宋体" w:hAnsi="宋体"/>
          <w:color w:val="auto"/>
          <w:sz w:val="28"/>
          <w:szCs w:val="28"/>
          <w:highlight w:val="none"/>
        </w:rPr>
        <w:t>关于贵方</w:t>
      </w:r>
      <w:r>
        <w:rPr>
          <w:rFonts w:hint="eastAsia" w:ascii="宋体" w:hAnsi="宋体"/>
          <w:color w:val="auto"/>
          <w:sz w:val="28"/>
          <w:szCs w:val="28"/>
          <w:highlight w:val="none"/>
          <w:u w:val="single"/>
        </w:rPr>
        <w:t>2021年</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日</w:t>
      </w:r>
      <w:r>
        <w:rPr>
          <w:rFonts w:hint="eastAsia" w:ascii="宋体" w:hAnsi="宋体"/>
          <w:color w:val="auto"/>
          <w:sz w:val="28"/>
          <w:szCs w:val="28"/>
          <w:highlight w:val="none"/>
        </w:rPr>
        <w:t>发布的</w:t>
      </w:r>
      <w:r>
        <w:rPr>
          <w:rFonts w:hint="eastAsia" w:hAnsi="宋体"/>
          <w:b w:val="0"/>
          <w:bCs/>
          <w:color w:val="auto"/>
          <w:sz w:val="28"/>
          <w:szCs w:val="28"/>
          <w:highlight w:val="none"/>
          <w:u w:val="single"/>
        </w:rPr>
        <w:t>浙江广厦建设职业技术大学</w:t>
      </w:r>
      <w:r>
        <w:rPr>
          <w:rFonts w:hint="eastAsia"/>
          <w:b w:val="0"/>
          <w:bCs/>
          <w:color w:val="auto"/>
          <w:sz w:val="28"/>
          <w:szCs w:val="28"/>
          <w:highlight w:val="none"/>
          <w:u w:val="single"/>
        </w:rPr>
        <w:t>工程造价咨询企业资格采购</w:t>
      </w:r>
      <w:r>
        <w:rPr>
          <w:rFonts w:hint="eastAsia" w:ascii="宋体" w:hAnsi="宋体" w:cs="宋体"/>
          <w:color w:val="auto"/>
          <w:sz w:val="28"/>
          <w:szCs w:val="28"/>
          <w:highlight w:val="none"/>
        </w:rPr>
        <w:t>招标公告</w:t>
      </w:r>
      <w:r>
        <w:rPr>
          <w:rFonts w:hint="eastAsia" w:ascii="宋体" w:hAnsi="宋体"/>
          <w:color w:val="auto"/>
          <w:sz w:val="28"/>
          <w:szCs w:val="28"/>
          <w:highlight w:val="none"/>
        </w:rPr>
        <w:t>，本单位愿意参加该项目的投标。现予以确认！</w:t>
      </w:r>
    </w:p>
    <w:p>
      <w:pPr>
        <w:spacing w:line="500" w:lineRule="exact"/>
        <w:rPr>
          <w:rFonts w:hint="eastAsia" w:ascii="宋体" w:hAnsi="宋体"/>
          <w:color w:val="auto"/>
          <w:sz w:val="28"/>
          <w:szCs w:val="28"/>
          <w:highlight w:val="none"/>
        </w:rPr>
      </w:pPr>
    </w:p>
    <w:p>
      <w:pPr>
        <w:spacing w:line="500" w:lineRule="exact"/>
        <w:rPr>
          <w:rFonts w:hint="eastAsia" w:ascii="宋体" w:hAnsi="宋体"/>
          <w:color w:val="auto"/>
          <w:sz w:val="28"/>
          <w:szCs w:val="28"/>
          <w:highlight w:val="none"/>
        </w:rPr>
      </w:pPr>
    </w:p>
    <w:p>
      <w:pPr>
        <w:spacing w:line="500" w:lineRule="exact"/>
        <w:rPr>
          <w:rFonts w:hint="eastAsia" w:ascii="宋体" w:hAnsi="宋体"/>
          <w:color w:val="auto"/>
          <w:sz w:val="28"/>
          <w:szCs w:val="28"/>
          <w:highlight w:val="none"/>
          <w:u w:val="single"/>
        </w:rPr>
      </w:pPr>
      <w:r>
        <w:rPr>
          <w:rFonts w:hint="eastAsia" w:ascii="宋体" w:hAnsi="宋体"/>
          <w:color w:val="auto"/>
          <w:sz w:val="28"/>
          <w:szCs w:val="28"/>
          <w:highlight w:val="none"/>
        </w:rPr>
        <w:t>单位名称（公章）：</w:t>
      </w:r>
      <w:r>
        <w:rPr>
          <w:rFonts w:hint="eastAsia" w:ascii="宋体" w:hAnsi="宋体"/>
          <w:color w:val="auto"/>
          <w:sz w:val="28"/>
          <w:szCs w:val="28"/>
          <w:highlight w:val="none"/>
          <w:u w:val="single"/>
        </w:rPr>
        <w:t xml:space="preserve">                                            </w:t>
      </w:r>
    </w:p>
    <w:p>
      <w:pPr>
        <w:spacing w:line="500" w:lineRule="exact"/>
        <w:rPr>
          <w:rFonts w:hint="eastAsia" w:ascii="宋体" w:hAnsi="宋体"/>
          <w:color w:val="auto"/>
          <w:sz w:val="28"/>
          <w:szCs w:val="28"/>
          <w:highlight w:val="none"/>
          <w:u w:val="single"/>
        </w:rPr>
      </w:pPr>
    </w:p>
    <w:p>
      <w:pPr>
        <w:spacing w:line="500" w:lineRule="exact"/>
        <w:rPr>
          <w:rFonts w:hint="eastAsia" w:ascii="宋体" w:hAnsi="宋体"/>
          <w:color w:val="auto"/>
          <w:sz w:val="28"/>
          <w:szCs w:val="28"/>
          <w:highlight w:val="none"/>
          <w:u w:val="single"/>
        </w:rPr>
      </w:pPr>
      <w:r>
        <w:rPr>
          <w:rFonts w:hint="eastAsia" w:ascii="宋体" w:hAnsi="宋体"/>
          <w:color w:val="auto"/>
          <w:sz w:val="28"/>
          <w:szCs w:val="28"/>
          <w:highlight w:val="none"/>
        </w:rPr>
        <w:t>法定代表人或授权代表（签章）：</w:t>
      </w:r>
      <w:r>
        <w:rPr>
          <w:rFonts w:hint="eastAsia" w:ascii="宋体" w:hAnsi="宋体"/>
          <w:color w:val="auto"/>
          <w:sz w:val="28"/>
          <w:szCs w:val="28"/>
          <w:highlight w:val="none"/>
          <w:u w:val="single"/>
        </w:rPr>
        <w:t xml:space="preserve">                                  </w:t>
      </w:r>
    </w:p>
    <w:p>
      <w:pPr>
        <w:spacing w:line="500" w:lineRule="exact"/>
        <w:rPr>
          <w:rFonts w:hint="eastAsia" w:ascii="宋体" w:hAnsi="宋体"/>
          <w:color w:val="auto"/>
          <w:sz w:val="28"/>
          <w:szCs w:val="28"/>
          <w:highlight w:val="none"/>
          <w:u w:val="single"/>
        </w:rPr>
      </w:pPr>
    </w:p>
    <w:p>
      <w:pPr>
        <w:spacing w:line="500" w:lineRule="exact"/>
        <w:rPr>
          <w:rFonts w:hint="eastAsia" w:ascii="宋体" w:hAnsi="宋体"/>
          <w:color w:val="auto"/>
          <w:sz w:val="28"/>
          <w:szCs w:val="28"/>
          <w:highlight w:val="none"/>
          <w:u w:val="single"/>
        </w:rPr>
      </w:pPr>
      <w:r>
        <w:rPr>
          <w:rFonts w:hint="eastAsia" w:ascii="宋体" w:hAnsi="宋体"/>
          <w:color w:val="auto"/>
          <w:sz w:val="28"/>
          <w:szCs w:val="28"/>
          <w:highlight w:val="none"/>
        </w:rPr>
        <w:t>单位地址：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钉钉号：</w:t>
      </w:r>
      <w:r>
        <w:rPr>
          <w:rFonts w:hint="eastAsia" w:ascii="宋体" w:hAnsi="宋体"/>
          <w:color w:val="auto"/>
          <w:sz w:val="28"/>
          <w:szCs w:val="28"/>
          <w:highlight w:val="none"/>
          <w:u w:val="single"/>
        </w:rPr>
        <w:t xml:space="preserve">                                 </w:t>
      </w:r>
    </w:p>
    <w:p>
      <w:pPr>
        <w:spacing w:line="500" w:lineRule="exact"/>
        <w:rPr>
          <w:rFonts w:hint="eastAsia" w:ascii="宋体" w:hAnsi="宋体"/>
          <w:color w:val="auto"/>
          <w:sz w:val="28"/>
          <w:szCs w:val="28"/>
          <w:highlight w:val="none"/>
        </w:rPr>
      </w:pPr>
    </w:p>
    <w:p>
      <w:pPr>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电  话：</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邮  编：</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p>
    <w:p>
      <w:pPr>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spacing w:line="500" w:lineRule="exact"/>
        <w:rPr>
          <w:rFonts w:hint="eastAsia" w:ascii="宋体" w:hAnsi="宋体"/>
          <w:color w:val="auto"/>
          <w:sz w:val="28"/>
          <w:szCs w:val="28"/>
          <w:highlight w:val="none"/>
          <w:u w:val="single"/>
        </w:rPr>
      </w:pPr>
      <w:r>
        <w:rPr>
          <w:rFonts w:hint="eastAsia" w:ascii="宋体" w:hAnsi="宋体"/>
          <w:color w:val="auto"/>
          <w:sz w:val="28"/>
          <w:szCs w:val="28"/>
          <w:highlight w:val="none"/>
        </w:rPr>
        <w:t>传  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p>
    <w:p>
      <w:pPr>
        <w:spacing w:line="500" w:lineRule="exact"/>
        <w:rPr>
          <w:rFonts w:hint="eastAsia" w:ascii="宋体" w:hAnsi="宋体"/>
          <w:color w:val="auto"/>
          <w:sz w:val="28"/>
          <w:szCs w:val="28"/>
          <w:highlight w:val="none"/>
          <w:u w:val="single"/>
        </w:rPr>
      </w:pPr>
    </w:p>
    <w:p>
      <w:pPr>
        <w:spacing w:line="500" w:lineRule="exact"/>
        <w:rPr>
          <w:rFonts w:hint="eastAsia" w:ascii="宋体" w:hAnsi="宋体"/>
          <w:color w:val="auto"/>
          <w:sz w:val="32"/>
          <w:highlight w:val="none"/>
          <w:u w:val="single"/>
        </w:rPr>
      </w:pPr>
      <w:r>
        <w:rPr>
          <w:rFonts w:hint="eastAsia" w:ascii="宋体" w:hAnsi="宋体"/>
          <w:color w:val="auto"/>
          <w:sz w:val="28"/>
          <w:szCs w:val="28"/>
          <w:highlight w:val="none"/>
        </w:rPr>
        <w:t>联系人：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手机号码：</w:t>
      </w:r>
      <w:r>
        <w:rPr>
          <w:rFonts w:hint="eastAsia" w:ascii="宋体" w:hAnsi="宋体"/>
          <w:color w:val="auto"/>
          <w:sz w:val="28"/>
          <w:szCs w:val="28"/>
          <w:highlight w:val="none"/>
          <w:u w:val="single"/>
        </w:rPr>
        <w:t xml:space="preserve">                 </w:t>
      </w:r>
      <w:r>
        <w:rPr>
          <w:rFonts w:hint="eastAsia" w:ascii="宋体" w:hAnsi="宋体"/>
          <w:color w:val="auto"/>
          <w:sz w:val="32"/>
          <w:highlight w:val="none"/>
          <w:u w:val="single"/>
        </w:rPr>
        <w:t xml:space="preserve">   </w:t>
      </w:r>
    </w:p>
    <w:p>
      <w:pPr>
        <w:widowControl/>
        <w:spacing w:line="500" w:lineRule="exact"/>
        <w:jc w:val="left"/>
        <w:rPr>
          <w:rFonts w:hint="eastAsia" w:ascii="宋体" w:hAnsi="宋体"/>
          <w:color w:val="auto"/>
          <w:sz w:val="28"/>
          <w:szCs w:val="28"/>
          <w:highlight w:val="none"/>
        </w:rPr>
      </w:pPr>
    </w:p>
    <w:p>
      <w:pPr>
        <w:widowControl/>
        <w:spacing w:line="500" w:lineRule="exact"/>
        <w:jc w:val="left"/>
        <w:rPr>
          <w:rFonts w:hint="eastAsia" w:ascii="宋体" w:hAnsi="宋体"/>
          <w:color w:val="auto"/>
          <w:sz w:val="28"/>
          <w:szCs w:val="28"/>
          <w:highlight w:val="none"/>
        </w:rPr>
      </w:pPr>
      <w:r>
        <w:rPr>
          <w:rFonts w:hint="eastAsia" w:ascii="宋体" w:hAnsi="宋体"/>
          <w:color w:val="auto"/>
          <w:sz w:val="28"/>
          <w:szCs w:val="28"/>
          <w:highlight w:val="none"/>
        </w:rPr>
        <w:t>电子邮箱：</w:t>
      </w:r>
      <w:r>
        <w:rPr>
          <w:rFonts w:hint="eastAsia" w:ascii="宋体" w:hAnsi="宋体"/>
          <w:color w:val="auto"/>
          <w:sz w:val="28"/>
          <w:szCs w:val="28"/>
          <w:highlight w:val="none"/>
          <w:u w:val="single"/>
        </w:rPr>
        <w:t xml:space="preserve">                       </w:t>
      </w:r>
    </w:p>
    <w:p>
      <w:pPr>
        <w:widowControl/>
        <w:spacing w:line="500" w:lineRule="exact"/>
        <w:jc w:val="left"/>
        <w:rPr>
          <w:rFonts w:hint="eastAsia" w:ascii="宋体" w:hAnsi="宋体"/>
          <w:color w:val="auto"/>
          <w:sz w:val="28"/>
          <w:szCs w:val="28"/>
          <w:highlight w:val="none"/>
        </w:rPr>
      </w:pPr>
    </w:p>
    <w:p>
      <w:pPr>
        <w:widowControl/>
        <w:spacing w:line="500" w:lineRule="exact"/>
        <w:jc w:val="left"/>
        <w:rPr>
          <w:rFonts w:hint="eastAsia" w:ascii="宋体" w:hAnsi="宋体"/>
          <w:color w:val="auto"/>
          <w:sz w:val="28"/>
          <w:szCs w:val="28"/>
          <w:highlight w:val="none"/>
        </w:rPr>
      </w:pPr>
      <w:r>
        <w:rPr>
          <w:rFonts w:hint="eastAsia" w:ascii="宋体" w:hAnsi="宋体"/>
          <w:color w:val="auto"/>
          <w:sz w:val="28"/>
          <w:szCs w:val="28"/>
          <w:highlight w:val="none"/>
        </w:rPr>
        <w:t>注：此投标确认函</w:t>
      </w:r>
      <w:r>
        <w:rPr>
          <w:rFonts w:hint="eastAsia" w:ascii="宋体" w:hAnsi="宋体"/>
          <w:color w:val="auto"/>
          <w:sz w:val="28"/>
          <w:szCs w:val="28"/>
          <w:highlight w:val="none"/>
          <w:lang w:eastAsia="zh-CN"/>
        </w:rPr>
        <w:t>与报名资料</w:t>
      </w:r>
      <w:r>
        <w:rPr>
          <w:rFonts w:hint="eastAsia" w:ascii="宋体" w:hAnsi="宋体"/>
          <w:color w:val="auto"/>
          <w:sz w:val="28"/>
          <w:szCs w:val="28"/>
          <w:highlight w:val="none"/>
        </w:rPr>
        <w:t>请于2021年</w:t>
      </w:r>
      <w:r>
        <w:rPr>
          <w:rFonts w:hint="eastAsia" w:ascii="宋体" w:hAnsi="宋体"/>
          <w:color w:val="auto"/>
          <w:sz w:val="28"/>
          <w:szCs w:val="28"/>
          <w:highlight w:val="none"/>
          <w:lang w:val="en-US" w:eastAsia="zh-CN"/>
        </w:rPr>
        <w:t>11月22日11</w:t>
      </w:r>
      <w:r>
        <w:rPr>
          <w:rFonts w:hint="eastAsia" w:ascii="宋体" w:hAnsi="宋体"/>
          <w:color w:val="auto"/>
          <w:sz w:val="28"/>
          <w:szCs w:val="28"/>
          <w:highlight w:val="none"/>
        </w:rPr>
        <w:t>时</w:t>
      </w:r>
      <w:r>
        <w:rPr>
          <w:rFonts w:hint="eastAsia" w:ascii="宋体" w:hAnsi="宋体"/>
          <w:color w:val="auto"/>
          <w:sz w:val="28"/>
          <w:szCs w:val="28"/>
          <w:highlight w:val="none"/>
          <w:lang w:val="en-US" w:eastAsia="zh-CN"/>
        </w:rPr>
        <w:t>00</w:t>
      </w:r>
      <w:r>
        <w:rPr>
          <w:rFonts w:hint="eastAsia" w:ascii="宋体" w:hAnsi="宋体"/>
          <w:color w:val="auto"/>
          <w:sz w:val="28"/>
          <w:szCs w:val="28"/>
          <w:highlight w:val="none"/>
        </w:rPr>
        <w:t>分前通过邮箱方式</w:t>
      </w:r>
      <w:r>
        <w:rPr>
          <w:rFonts w:hint="eastAsia" w:ascii="宋体" w:hAnsi="宋体"/>
          <w:color w:val="auto"/>
          <w:sz w:val="28"/>
          <w:szCs w:val="28"/>
          <w:highlight w:val="none"/>
          <w:lang w:eastAsia="zh-CN"/>
        </w:rPr>
        <w:t>递交至</w:t>
      </w:r>
      <w:r>
        <w:rPr>
          <w:rFonts w:hint="eastAsia" w:ascii="宋体" w:hAnsi="宋体" w:cs="宋体"/>
          <w:color w:val="auto"/>
          <w:sz w:val="28"/>
          <w:szCs w:val="28"/>
          <w:highlight w:val="none"/>
        </w:rPr>
        <w:t>953715462</w:t>
      </w:r>
      <w:r>
        <w:rPr>
          <w:rFonts w:hint="eastAsia" w:ascii="宋体" w:hAnsi="宋体"/>
          <w:color w:val="auto"/>
          <w:sz w:val="28"/>
          <w:szCs w:val="28"/>
          <w:highlight w:val="none"/>
        </w:rPr>
        <w:t>@qq.com</w:t>
      </w:r>
      <w:r>
        <w:rPr>
          <w:rFonts w:hint="eastAsia" w:ascii="宋体" w:hAnsi="宋体"/>
          <w:color w:val="auto"/>
          <w:sz w:val="28"/>
          <w:szCs w:val="28"/>
          <w:highlight w:val="none"/>
          <w:lang w:eastAsia="zh-CN"/>
        </w:rPr>
        <w:t>，</w:t>
      </w:r>
      <w:r>
        <w:rPr>
          <w:rFonts w:ascii="宋体" w:hAnsi="宋体" w:cs="Arial"/>
          <w:color w:val="auto"/>
          <w:sz w:val="24"/>
          <w:highlight w:val="none"/>
        </w:rPr>
        <w:t>电话：</w:t>
      </w:r>
      <w:r>
        <w:rPr>
          <w:rFonts w:ascii="宋体" w:hAnsi="宋体" w:cs="宋体"/>
          <w:color w:val="auto"/>
          <w:sz w:val="28"/>
          <w:szCs w:val="28"/>
          <w:highlight w:val="none"/>
        </w:rPr>
        <w:t>0579-866</w:t>
      </w:r>
      <w:r>
        <w:rPr>
          <w:rFonts w:hint="eastAsia" w:ascii="宋体" w:hAnsi="宋体" w:cs="宋体"/>
          <w:color w:val="auto"/>
          <w:sz w:val="28"/>
          <w:szCs w:val="28"/>
          <w:highlight w:val="none"/>
        </w:rPr>
        <w:t>64725</w:t>
      </w:r>
      <w:r>
        <w:rPr>
          <w:rFonts w:hint="eastAsia" w:ascii="宋体" w:hAnsi="宋体"/>
          <w:color w:val="auto"/>
          <w:sz w:val="28"/>
          <w:szCs w:val="28"/>
          <w:highlight w:val="none"/>
        </w:rPr>
        <w:t>。</w:t>
      </w:r>
    </w:p>
    <w:p>
      <w:pPr>
        <w:spacing w:line="360" w:lineRule="exact"/>
        <w:rPr>
          <w:rFonts w:ascii="宋体" w:hAnsi="宋体"/>
          <w:color w:val="auto"/>
          <w:sz w:val="28"/>
          <w:szCs w:val="28"/>
          <w:highlight w:val="none"/>
        </w:rPr>
      </w:pPr>
    </w:p>
    <w:p>
      <w:pPr>
        <w:pStyle w:val="19"/>
        <w:rPr>
          <w:rFonts w:hint="eastAsia"/>
          <w:color w:val="auto"/>
          <w:highlight w:val="none"/>
        </w:rPr>
      </w:pPr>
      <w:bookmarkStart w:id="6" w:name="_GoBack"/>
      <w:bookmarkEnd w:id="6"/>
    </w:p>
    <w:p>
      <w:pPr>
        <w:pStyle w:val="19"/>
        <w:rPr>
          <w:rFonts w:hint="eastAsia"/>
          <w:color w:val="auto"/>
          <w:highlight w:val="none"/>
        </w:rPr>
      </w:pPr>
    </w:p>
    <w:p>
      <w:pPr>
        <w:pStyle w:val="19"/>
        <w:rPr>
          <w:rFonts w:hint="eastAsia"/>
          <w:color w:val="auto"/>
          <w:highlight w:val="none"/>
        </w:rPr>
      </w:pPr>
    </w:p>
    <w:p>
      <w:pPr>
        <w:spacing w:line="500" w:lineRule="exact"/>
        <w:rPr>
          <w:rFonts w:ascii="宋体" w:hAnsi="宋体"/>
          <w:b/>
          <w:color w:val="auto"/>
          <w:sz w:val="28"/>
          <w:szCs w:val="28"/>
          <w:highlight w:val="none"/>
        </w:rPr>
      </w:pPr>
    </w:p>
    <w:p>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第二章投标须知</w:t>
      </w:r>
    </w:p>
    <w:p>
      <w:pPr>
        <w:spacing w:line="440" w:lineRule="exact"/>
        <w:jc w:val="center"/>
        <w:rPr>
          <w:rFonts w:ascii="宋体" w:hAnsi="宋体"/>
          <w:b/>
          <w:color w:val="auto"/>
          <w:sz w:val="28"/>
          <w:szCs w:val="28"/>
          <w:highlight w:val="none"/>
        </w:rPr>
      </w:pPr>
      <w:bookmarkStart w:id="0" w:name="_Toc241653811"/>
      <w:r>
        <w:rPr>
          <w:rFonts w:hint="eastAsia" w:ascii="宋体" w:hAnsi="宋体"/>
          <w:b/>
          <w:color w:val="auto"/>
          <w:sz w:val="28"/>
          <w:szCs w:val="28"/>
          <w:highlight w:val="none"/>
        </w:rPr>
        <w:t>一、总 则</w:t>
      </w:r>
      <w:bookmarkEnd w:id="0"/>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1、招标内容及范围：</w:t>
      </w:r>
      <w:r>
        <w:rPr>
          <w:rFonts w:hint="eastAsia" w:ascii="宋体" w:hAnsi="宋体"/>
          <w:color w:val="auto"/>
          <w:sz w:val="28"/>
          <w:szCs w:val="28"/>
          <w:highlight w:val="none"/>
        </w:rPr>
        <w:t>详见招标公告。</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2、招标资格有效期：</w:t>
      </w:r>
      <w:r>
        <w:rPr>
          <w:rFonts w:hint="eastAsia" w:ascii="宋体" w:hAnsi="宋体"/>
          <w:color w:val="auto"/>
          <w:sz w:val="28"/>
          <w:szCs w:val="28"/>
          <w:highlight w:val="none"/>
        </w:rPr>
        <w:t>本次招标的资格有效期自2021年12月至2022年11月止（暂定一年）。</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3、</w:t>
      </w:r>
      <w:r>
        <w:rPr>
          <w:rFonts w:ascii="宋体" w:hAnsi="宋体"/>
          <w:b/>
          <w:color w:val="auto"/>
          <w:sz w:val="28"/>
          <w:szCs w:val="28"/>
          <w:highlight w:val="none"/>
        </w:rPr>
        <w:t>投标人的</w:t>
      </w:r>
      <w:r>
        <w:rPr>
          <w:rFonts w:hint="eastAsia" w:ascii="宋体" w:hAnsi="宋体"/>
          <w:b/>
          <w:color w:val="auto"/>
          <w:sz w:val="28"/>
          <w:szCs w:val="28"/>
          <w:highlight w:val="none"/>
        </w:rPr>
        <w:t>资格要求</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3.1投标人应具备承担本项目的资质条件、能力和信誉。</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（1）投标人资格条件：见招标公告；</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（2）项目负责人资格条件：见招标公告；</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3.2本项目不接受联合体投标；</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3.3投标人不得存在下列情形之一：</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（1）处于被责令停业、造价咨询及招标代理资格被取消或财产被接管、冻结和破产状态；</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（2）投标人被有关部门暂停承接造价咨询、招标代理业务资格且在暂停期内的；</w:t>
      </w:r>
      <w:bookmarkStart w:id="1" w:name="_Toc235694699"/>
      <w:bookmarkStart w:id="2" w:name="_Toc241653816"/>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4、</w:t>
      </w:r>
      <w:r>
        <w:rPr>
          <w:rFonts w:ascii="宋体" w:hAnsi="宋体"/>
          <w:b/>
          <w:color w:val="auto"/>
          <w:sz w:val="28"/>
          <w:szCs w:val="28"/>
          <w:highlight w:val="none"/>
        </w:rPr>
        <w:t>投标费用</w:t>
      </w:r>
      <w:bookmarkEnd w:id="1"/>
      <w:bookmarkEnd w:id="2"/>
      <w:r>
        <w:rPr>
          <w:rFonts w:hint="eastAsia" w:ascii="宋体" w:hAnsi="宋体"/>
          <w:b/>
          <w:color w:val="auto"/>
          <w:sz w:val="28"/>
          <w:szCs w:val="28"/>
          <w:highlight w:val="none"/>
        </w:rPr>
        <w:t>：</w:t>
      </w:r>
      <w:r>
        <w:rPr>
          <w:rFonts w:hint="eastAsia" w:ascii="宋体" w:hAnsi="宋体"/>
          <w:color w:val="auto"/>
          <w:sz w:val="28"/>
          <w:szCs w:val="28"/>
          <w:highlight w:val="none"/>
        </w:rPr>
        <w:t>投标人应承担其编制投标文件与递交投标文件所涉及的一切费用。不论投标结果如何，招标人在任何情况下无义务和也无责任承担这些费用。</w:t>
      </w:r>
    </w:p>
    <w:p>
      <w:pPr>
        <w:spacing w:line="440" w:lineRule="exact"/>
        <w:rPr>
          <w:rFonts w:ascii="宋体" w:hAnsi="宋体"/>
          <w:color w:val="auto"/>
          <w:sz w:val="28"/>
          <w:szCs w:val="28"/>
          <w:highlight w:val="none"/>
        </w:rPr>
      </w:pPr>
      <w:r>
        <w:rPr>
          <w:rFonts w:hint="eastAsia" w:ascii="宋体" w:hAnsi="宋体"/>
          <w:b/>
          <w:color w:val="auto"/>
          <w:sz w:val="28"/>
          <w:szCs w:val="28"/>
          <w:highlight w:val="none"/>
        </w:rPr>
        <w:t>5、</w:t>
      </w:r>
      <w:r>
        <w:rPr>
          <w:rFonts w:hint="eastAsia" w:ascii="宋体" w:hAnsi="宋体"/>
          <w:color w:val="auto"/>
          <w:sz w:val="28"/>
          <w:szCs w:val="28"/>
          <w:highlight w:val="none"/>
        </w:rPr>
        <w:t>浙江广厦建设职业技术大学为工程预决算编审业务管理单位，负责对工程预决算编审工作的管理。对实施过程中出现的疑难问题，由学校与审价单位、主管部门等有关单位协调解决。</w:t>
      </w:r>
    </w:p>
    <w:p>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二、招标文件</w:t>
      </w:r>
    </w:p>
    <w:p>
      <w:pPr>
        <w:spacing w:line="440" w:lineRule="exact"/>
        <w:rPr>
          <w:rFonts w:ascii="宋体" w:hAnsi="宋体"/>
          <w:b/>
          <w:color w:val="auto"/>
          <w:sz w:val="28"/>
          <w:szCs w:val="28"/>
          <w:highlight w:val="none"/>
        </w:rPr>
      </w:pPr>
      <w:bookmarkStart w:id="3" w:name="_Toc235694702"/>
      <w:bookmarkStart w:id="4" w:name="_Toc241653819"/>
      <w:r>
        <w:rPr>
          <w:rFonts w:hint="eastAsia" w:ascii="宋体" w:hAnsi="宋体"/>
          <w:b/>
          <w:color w:val="auto"/>
          <w:sz w:val="28"/>
          <w:szCs w:val="28"/>
          <w:highlight w:val="none"/>
        </w:rPr>
        <w:t>6</w:t>
      </w:r>
      <w:r>
        <w:rPr>
          <w:rFonts w:ascii="宋体" w:hAnsi="宋体"/>
          <w:b/>
          <w:color w:val="auto"/>
          <w:sz w:val="28"/>
          <w:szCs w:val="28"/>
          <w:highlight w:val="none"/>
        </w:rPr>
        <w:t>．招标文件的组成</w:t>
      </w:r>
      <w:bookmarkEnd w:id="3"/>
      <w:bookmarkEnd w:id="4"/>
    </w:p>
    <w:p>
      <w:pPr>
        <w:spacing w:line="440" w:lineRule="exact"/>
        <w:rPr>
          <w:rFonts w:ascii="宋体" w:hAnsi="宋体"/>
          <w:color w:val="auto"/>
          <w:sz w:val="28"/>
          <w:szCs w:val="28"/>
          <w:highlight w:val="none"/>
        </w:rPr>
      </w:pPr>
      <w:r>
        <w:rPr>
          <w:rFonts w:hint="eastAsia" w:ascii="宋体" w:hAnsi="宋体"/>
          <w:color w:val="auto"/>
          <w:sz w:val="28"/>
          <w:szCs w:val="28"/>
          <w:highlight w:val="none"/>
        </w:rPr>
        <w:t>6.1招标文件由下述部分组成：（1）招标公告；（2）投标须知；（3）</w:t>
      </w:r>
      <w:r>
        <w:rPr>
          <w:rFonts w:ascii="宋体" w:hAnsi="宋体"/>
          <w:color w:val="auto"/>
          <w:sz w:val="28"/>
          <w:szCs w:val="28"/>
          <w:highlight w:val="none"/>
        </w:rPr>
        <w:t>评标方法、标准、程序</w:t>
      </w:r>
      <w:r>
        <w:rPr>
          <w:rFonts w:hint="eastAsia" w:ascii="宋体" w:hAnsi="宋体"/>
          <w:color w:val="auto"/>
          <w:sz w:val="28"/>
          <w:szCs w:val="28"/>
          <w:highlight w:val="none"/>
        </w:rPr>
        <w:t>及细则；（4）投标文件格式</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6.2投标人应认真阅读招标文件中所有的事项、格式、条款和要求等。投标人没有按照招标文件要求提交全部资料，或者递交的资料没有对招标文件在各方面都作出实质性响应是投标人的风险。</w:t>
      </w:r>
    </w:p>
    <w:p>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三、投标文件的编制</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7</w:t>
      </w:r>
      <w:r>
        <w:rPr>
          <w:rFonts w:ascii="宋体" w:hAnsi="宋体"/>
          <w:b/>
          <w:color w:val="auto"/>
          <w:sz w:val="28"/>
          <w:szCs w:val="28"/>
          <w:highlight w:val="none"/>
        </w:rPr>
        <w:t>．投标文件的组成</w:t>
      </w:r>
    </w:p>
    <w:p>
      <w:pPr>
        <w:spacing w:line="440" w:lineRule="exact"/>
        <w:ind w:firstLine="140" w:firstLineChars="50"/>
        <w:rPr>
          <w:rFonts w:ascii="宋体" w:hAnsi="宋体"/>
          <w:b/>
          <w:color w:val="auto"/>
          <w:sz w:val="28"/>
          <w:szCs w:val="28"/>
          <w:highlight w:val="none"/>
        </w:rPr>
      </w:pPr>
      <w:r>
        <w:rPr>
          <w:rFonts w:hint="eastAsia" w:ascii="宋体" w:hAnsi="宋体"/>
          <w:color w:val="auto"/>
          <w:sz w:val="28"/>
          <w:szCs w:val="28"/>
          <w:highlight w:val="none"/>
        </w:rPr>
        <w:t>投标文件应按本招标文件规定的要求与格式编制（表格可按同样格式扩展）</w:t>
      </w:r>
      <w:bookmarkStart w:id="5" w:name="_Toc112050492"/>
    </w:p>
    <w:p>
      <w:pPr>
        <w:spacing w:line="440" w:lineRule="exact"/>
        <w:rPr>
          <w:rFonts w:ascii="宋体" w:hAnsi="宋体"/>
          <w:color w:val="auto"/>
          <w:sz w:val="28"/>
          <w:szCs w:val="28"/>
          <w:highlight w:val="none"/>
        </w:rPr>
      </w:pPr>
      <w:r>
        <w:rPr>
          <w:rFonts w:hint="eastAsia" w:ascii="宋体" w:hAnsi="宋体"/>
          <w:color w:val="auto"/>
          <w:sz w:val="28"/>
          <w:szCs w:val="28"/>
          <w:highlight w:val="none"/>
        </w:rPr>
        <w:t>（1）、（表一）投标书；</w:t>
      </w:r>
    </w:p>
    <w:p>
      <w:pPr>
        <w:spacing w:line="440" w:lineRule="exact"/>
        <w:rPr>
          <w:rFonts w:ascii="宋体" w:hAnsi="宋体"/>
          <w:b/>
          <w:color w:val="auto"/>
          <w:sz w:val="28"/>
          <w:szCs w:val="28"/>
          <w:highlight w:val="none"/>
        </w:rPr>
      </w:pPr>
      <w:r>
        <w:rPr>
          <w:rFonts w:hint="eastAsia" w:ascii="宋体" w:hAnsi="宋体"/>
          <w:color w:val="auto"/>
          <w:sz w:val="28"/>
          <w:szCs w:val="28"/>
          <w:highlight w:val="none"/>
        </w:rPr>
        <w:t>（2）、（表二）开标一览</w:t>
      </w:r>
      <w:r>
        <w:rPr>
          <w:rFonts w:ascii="宋体" w:hAnsi="宋体"/>
          <w:color w:val="auto"/>
          <w:sz w:val="28"/>
          <w:szCs w:val="28"/>
          <w:highlight w:val="none"/>
        </w:rPr>
        <w:t>表</w:t>
      </w:r>
      <w:r>
        <w:rPr>
          <w:rFonts w:hint="eastAsia" w:ascii="宋体" w:hAnsi="宋体"/>
          <w:color w:val="auto"/>
          <w:sz w:val="28"/>
          <w:szCs w:val="28"/>
          <w:highlight w:val="none"/>
        </w:rPr>
        <w:t>：</w:t>
      </w:r>
      <w:r>
        <w:rPr>
          <w:rFonts w:hint="eastAsia" w:ascii="宋体" w:hAnsi="宋体"/>
          <w:b/>
          <w:color w:val="auto"/>
          <w:sz w:val="28"/>
          <w:szCs w:val="28"/>
          <w:highlight w:val="none"/>
        </w:rPr>
        <w:t>预结算编审按浙价服[2009]84号文件规定的基准收费标准下浮，其中预算审核按标准收费下浮40%-50%计取（</w:t>
      </w:r>
      <w:r>
        <w:rPr>
          <w:rFonts w:hint="eastAsia" w:ascii="宋体" w:hAnsi="宋体"/>
          <w:b/>
          <w:color w:val="auto"/>
          <w:sz w:val="28"/>
          <w:szCs w:val="28"/>
          <w:highlight w:val="none"/>
          <w:lang w:eastAsia="zh-CN"/>
        </w:rPr>
        <w:t>最多</w:t>
      </w:r>
      <w:r>
        <w:rPr>
          <w:rFonts w:hint="eastAsia" w:ascii="宋体" w:hAnsi="宋体"/>
          <w:b/>
          <w:color w:val="auto"/>
          <w:sz w:val="28"/>
          <w:szCs w:val="28"/>
          <w:highlight w:val="none"/>
        </w:rPr>
        <w:t>保留一位小数，不在规定范围内为废标），预算编制、结算审核按收费标准下浮20%-30%之间（</w:t>
      </w:r>
      <w:r>
        <w:rPr>
          <w:rFonts w:hint="eastAsia" w:ascii="宋体" w:hAnsi="宋体"/>
          <w:b/>
          <w:color w:val="auto"/>
          <w:sz w:val="28"/>
          <w:szCs w:val="28"/>
          <w:highlight w:val="none"/>
          <w:lang w:eastAsia="zh-CN"/>
        </w:rPr>
        <w:t>最多</w:t>
      </w:r>
      <w:r>
        <w:rPr>
          <w:rFonts w:hint="eastAsia" w:ascii="宋体" w:hAnsi="宋体"/>
          <w:b/>
          <w:color w:val="auto"/>
          <w:sz w:val="28"/>
          <w:szCs w:val="28"/>
          <w:highlight w:val="none"/>
        </w:rPr>
        <w:t>保留一位小数，不在规定范围内为废标）。</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（3）、（表三）投标单位基本情况表；</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（4）、（表四）法定代表人授权委托书；</w:t>
      </w:r>
    </w:p>
    <w:p>
      <w:pPr>
        <w:pStyle w:val="19"/>
        <w:spacing w:line="440" w:lineRule="exact"/>
        <w:ind w:firstLine="0"/>
        <w:rPr>
          <w:rFonts w:ascii="宋体" w:hAnsi="宋体"/>
          <w:color w:val="auto"/>
          <w:sz w:val="28"/>
          <w:szCs w:val="28"/>
          <w:highlight w:val="none"/>
        </w:rPr>
      </w:pPr>
      <w:r>
        <w:rPr>
          <w:rFonts w:hint="eastAsia" w:ascii="宋体" w:hAnsi="宋体"/>
          <w:color w:val="auto"/>
          <w:sz w:val="28"/>
          <w:szCs w:val="28"/>
          <w:highlight w:val="none"/>
        </w:rPr>
        <w:t>（5</w:t>
      </w:r>
      <w:r>
        <w:rPr>
          <w:rFonts w:ascii="宋体" w:hAnsi="宋体"/>
          <w:color w:val="auto"/>
          <w:sz w:val="28"/>
          <w:szCs w:val="28"/>
          <w:highlight w:val="none"/>
        </w:rPr>
        <w:t>）</w:t>
      </w:r>
      <w:r>
        <w:rPr>
          <w:rFonts w:hint="eastAsia" w:ascii="宋体" w:hAnsi="宋体"/>
          <w:color w:val="auto"/>
          <w:sz w:val="28"/>
          <w:szCs w:val="28"/>
          <w:highlight w:val="none"/>
        </w:rPr>
        <w:t>、（表五）拟派项目负责人基本情况表；</w:t>
      </w:r>
    </w:p>
    <w:p>
      <w:pPr>
        <w:pStyle w:val="19"/>
        <w:spacing w:line="440" w:lineRule="exact"/>
        <w:ind w:firstLine="0"/>
        <w:rPr>
          <w:rFonts w:hint="eastAsia"/>
          <w:color w:val="auto"/>
          <w:highlight w:val="none"/>
        </w:rPr>
      </w:pPr>
      <w:r>
        <w:rPr>
          <w:rFonts w:hint="eastAsia" w:ascii="宋体" w:hAnsi="宋体"/>
          <w:color w:val="auto"/>
          <w:sz w:val="28"/>
          <w:szCs w:val="28"/>
          <w:highlight w:val="none"/>
        </w:rPr>
        <w:t>（6）</w:t>
      </w:r>
      <w:r>
        <w:rPr>
          <w:rFonts w:hint="eastAsia" w:ascii="宋体" w:hAnsi="宋体"/>
          <w:color w:val="auto"/>
          <w:sz w:val="28"/>
          <w:szCs w:val="28"/>
          <w:highlight w:val="none"/>
          <w:lang w:val="en-US" w:eastAsia="zh-CN"/>
        </w:rPr>
        <w:t>、</w:t>
      </w:r>
      <w:r>
        <w:rPr>
          <w:rFonts w:hint="eastAsia" w:ascii="宋体" w:hAnsi="宋体"/>
          <w:color w:val="auto"/>
          <w:sz w:val="28"/>
          <w:szCs w:val="28"/>
          <w:highlight w:val="none"/>
        </w:rPr>
        <w:t>（表六）</w:t>
      </w:r>
      <w:r>
        <w:rPr>
          <w:rFonts w:hint="eastAsia" w:ascii="宋体" w:hAnsi="宋体"/>
          <w:bCs/>
          <w:color w:val="auto"/>
          <w:sz w:val="28"/>
          <w:szCs w:val="28"/>
          <w:highlight w:val="none"/>
        </w:rPr>
        <w:t>拟参加编审人员表；</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（7）、（表七）预结算编审服务承诺书；</w:t>
      </w:r>
    </w:p>
    <w:p>
      <w:pPr>
        <w:spacing w:line="4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预结算编审时限要求：编审单位自受理次日起，预（结）算额500万元以内的，预算编制14个日历天内完成，预算审核8个日历天内完成，结算审核16个日历天内完成；500-1000万元的，预算编制18个日历天内完成，预算审核12个日历天内完成，结算审核20个日历天内完成；1000-5000万元的，预算编制25个日历天内完成，预算审核18个日历天内完成，结算审核30个日历天内完成；5000万元以上的，预算编制45个日历天内完成，预算审核30个日历天内完成，结算审核45个日历天内完成；确有特殊原因不能完成的需向学校提供书面情况说明（因建设单位或设计单位原因引起的延期，须由建设单位或设计单位签字说明），经学校同意后方可延期，否则学校可不同意延期,并予以处罚。</w:t>
      </w:r>
    </w:p>
    <w:p>
      <w:pPr>
        <w:spacing w:line="4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预结算的审核结果误差率：不超过3%，超过的项目不支付审核费，一年中有两次审核误差率高于3%的中介机构，停止预结算编审资格。</w:t>
      </w:r>
    </w:p>
    <w:p>
      <w:pPr>
        <w:pStyle w:val="19"/>
        <w:spacing w:line="440" w:lineRule="exact"/>
        <w:ind w:firstLine="0"/>
        <w:rPr>
          <w:rFonts w:ascii="宋体" w:hAnsi="宋体"/>
          <w:color w:val="auto"/>
          <w:sz w:val="28"/>
          <w:szCs w:val="28"/>
          <w:highlight w:val="none"/>
        </w:rPr>
      </w:pPr>
      <w:r>
        <w:rPr>
          <w:rFonts w:hint="eastAsia" w:ascii="宋体" w:hAnsi="宋体"/>
          <w:color w:val="auto"/>
          <w:sz w:val="28"/>
          <w:szCs w:val="28"/>
          <w:highlight w:val="none"/>
        </w:rPr>
        <w:t>（8）、资信资料（按评标办法自行提供，不提供的不得分）</w:t>
      </w:r>
    </w:p>
    <w:p>
      <w:pPr>
        <w:pStyle w:val="19"/>
        <w:spacing w:line="440" w:lineRule="exact"/>
        <w:ind w:firstLine="0"/>
        <w:rPr>
          <w:rFonts w:ascii="宋体" w:hAnsi="宋体"/>
          <w:color w:val="auto"/>
          <w:sz w:val="28"/>
          <w:szCs w:val="28"/>
          <w:highlight w:val="none"/>
        </w:rPr>
      </w:pPr>
      <w:r>
        <w:rPr>
          <w:rFonts w:hint="eastAsia" w:ascii="宋体" w:hAnsi="宋体"/>
          <w:color w:val="auto"/>
          <w:sz w:val="28"/>
          <w:szCs w:val="28"/>
          <w:highlight w:val="none"/>
        </w:rPr>
        <w:t>（9）、其它（投标人认为需提供的资料）。</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8、投标文件的份数、签署和装订</w:t>
      </w:r>
    </w:p>
    <w:p>
      <w:pPr>
        <w:spacing w:line="440" w:lineRule="exact"/>
        <w:ind w:firstLine="140" w:firstLineChars="50"/>
        <w:rPr>
          <w:rFonts w:ascii="宋体" w:hAnsi="宋体"/>
          <w:color w:val="auto"/>
          <w:sz w:val="28"/>
          <w:szCs w:val="28"/>
          <w:highlight w:val="none"/>
        </w:rPr>
      </w:pPr>
      <w:r>
        <w:rPr>
          <w:rFonts w:hint="eastAsia" w:ascii="宋体" w:hAnsi="宋体"/>
          <w:color w:val="auto"/>
          <w:sz w:val="28"/>
          <w:szCs w:val="28"/>
          <w:highlight w:val="none"/>
        </w:rPr>
        <w:t>8.1投标文件的份数为正本一份、副本</w:t>
      </w:r>
      <w:r>
        <w:rPr>
          <w:rFonts w:hint="eastAsia" w:ascii="宋体" w:hAnsi="宋体"/>
          <w:color w:val="auto"/>
          <w:sz w:val="28"/>
          <w:szCs w:val="28"/>
          <w:highlight w:val="none"/>
          <w:lang w:eastAsia="zh-CN"/>
        </w:rPr>
        <w:t>二</w:t>
      </w:r>
      <w:r>
        <w:rPr>
          <w:rFonts w:hint="eastAsia" w:ascii="宋体" w:hAnsi="宋体"/>
          <w:color w:val="auto"/>
          <w:sz w:val="28"/>
          <w:szCs w:val="28"/>
          <w:highlight w:val="none"/>
        </w:rPr>
        <w:t>份，正、副本如有不一致之处，以正本为准。</w:t>
      </w:r>
    </w:p>
    <w:p>
      <w:pPr>
        <w:spacing w:line="440" w:lineRule="exact"/>
        <w:ind w:firstLine="140" w:firstLineChars="50"/>
        <w:rPr>
          <w:rFonts w:ascii="宋体" w:hAnsi="宋体"/>
          <w:color w:val="auto"/>
          <w:sz w:val="28"/>
          <w:szCs w:val="28"/>
          <w:highlight w:val="none"/>
        </w:rPr>
      </w:pPr>
      <w:r>
        <w:rPr>
          <w:rFonts w:hint="eastAsia" w:ascii="宋体" w:hAnsi="宋体"/>
          <w:color w:val="auto"/>
          <w:sz w:val="28"/>
          <w:szCs w:val="28"/>
          <w:highlight w:val="none"/>
        </w:rPr>
        <w:t>8.2投标文件（含表格部分）按给定格式如实填写（编写），不得更改，并由企业法定代表人或授权代表人签章后方为有效、未尽事宜可自行补充。</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9、投标有效期：</w:t>
      </w:r>
      <w:r>
        <w:rPr>
          <w:rFonts w:hint="eastAsia" w:ascii="宋体" w:hAnsi="宋体"/>
          <w:color w:val="auto"/>
          <w:sz w:val="28"/>
          <w:szCs w:val="28"/>
          <w:highlight w:val="none"/>
        </w:rPr>
        <w:t>30日历天（从投标截止之日算起，中标者同合同期限）。</w:t>
      </w:r>
    </w:p>
    <w:p>
      <w:pPr>
        <w:spacing w:line="440" w:lineRule="exact"/>
        <w:rPr>
          <w:rFonts w:ascii="宋体" w:hAnsi="宋体"/>
          <w:color w:val="auto"/>
          <w:sz w:val="28"/>
          <w:szCs w:val="28"/>
          <w:highlight w:val="none"/>
        </w:rPr>
      </w:pPr>
      <w:r>
        <w:rPr>
          <w:rFonts w:hint="eastAsia" w:ascii="宋体" w:hAnsi="宋体"/>
          <w:b/>
          <w:color w:val="auto"/>
          <w:sz w:val="28"/>
          <w:szCs w:val="28"/>
          <w:highlight w:val="none"/>
        </w:rPr>
        <w:t>10、投标文件的密封和标记：</w:t>
      </w:r>
      <w:r>
        <w:rPr>
          <w:rFonts w:hint="eastAsia" w:ascii="宋体" w:hAnsi="宋体"/>
          <w:color w:val="auto"/>
          <w:sz w:val="28"/>
          <w:szCs w:val="28"/>
          <w:highlight w:val="none"/>
        </w:rPr>
        <w:t xml:space="preserve">投标单位应将投标文件密封，并在密封处加盖公章，法定代表或法定授权委托人签章。同时在密封袋上注明“投标项目名称”、“2021年11月 </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0</w:t>
      </w:r>
      <w:r>
        <w:rPr>
          <w:rFonts w:ascii="宋体" w:hAnsi="宋体"/>
          <w:color w:val="auto"/>
          <w:sz w:val="28"/>
          <w:szCs w:val="28"/>
          <w:highlight w:val="none"/>
        </w:rPr>
        <w:t>0</w:t>
      </w:r>
      <w:r>
        <w:rPr>
          <w:rFonts w:hint="eastAsia" w:ascii="宋体" w:hAnsi="宋体"/>
          <w:color w:val="auto"/>
          <w:sz w:val="28"/>
          <w:szCs w:val="28"/>
          <w:highlight w:val="none"/>
        </w:rPr>
        <w:t>之前不准启封”字样。</w:t>
      </w:r>
    </w:p>
    <w:p>
      <w:pPr>
        <w:spacing w:line="440" w:lineRule="exact"/>
        <w:rPr>
          <w:rFonts w:ascii="宋体" w:hAnsi="宋体"/>
          <w:b/>
          <w:color w:val="auto"/>
          <w:sz w:val="28"/>
          <w:szCs w:val="28"/>
          <w:highlight w:val="none"/>
        </w:rPr>
      </w:pPr>
      <w:r>
        <w:rPr>
          <w:rFonts w:hint="eastAsia" w:ascii="宋体" w:hAnsi="宋体"/>
          <w:color w:val="auto"/>
          <w:sz w:val="28"/>
          <w:szCs w:val="28"/>
          <w:highlight w:val="none"/>
        </w:rPr>
        <w:t>未按要求密封、标记、投递的投标文件，按无效标处理。</w:t>
      </w:r>
    </w:p>
    <w:bookmarkEnd w:id="5"/>
    <w:p>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四、投标文件的递交与接收</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11</w:t>
      </w:r>
      <w:r>
        <w:rPr>
          <w:rFonts w:ascii="宋体" w:hAnsi="宋体"/>
          <w:b/>
          <w:color w:val="auto"/>
          <w:sz w:val="28"/>
          <w:szCs w:val="28"/>
          <w:highlight w:val="none"/>
        </w:rPr>
        <w:t>．</w:t>
      </w:r>
      <w:r>
        <w:rPr>
          <w:rFonts w:hint="eastAsia" w:ascii="宋体" w:hAnsi="宋体"/>
          <w:b/>
          <w:color w:val="auto"/>
          <w:sz w:val="28"/>
          <w:szCs w:val="28"/>
          <w:highlight w:val="none"/>
        </w:rPr>
        <w:t>投标文件的递交及截止时间</w:t>
      </w:r>
    </w:p>
    <w:p>
      <w:pPr>
        <w:spacing w:line="440" w:lineRule="exact"/>
        <w:ind w:firstLine="140" w:firstLineChars="50"/>
        <w:rPr>
          <w:rFonts w:ascii="宋体" w:hAnsi="宋体"/>
          <w:color w:val="auto"/>
          <w:sz w:val="28"/>
          <w:szCs w:val="28"/>
          <w:highlight w:val="none"/>
        </w:rPr>
      </w:pPr>
      <w:r>
        <w:rPr>
          <w:rFonts w:hint="eastAsia" w:ascii="宋体" w:hAnsi="宋体"/>
          <w:color w:val="auto"/>
          <w:sz w:val="28"/>
          <w:szCs w:val="28"/>
          <w:highlight w:val="none"/>
        </w:rPr>
        <w:t>11.1投标文件的递交地址：</w:t>
      </w:r>
      <w:r>
        <w:rPr>
          <w:rFonts w:ascii="宋体" w:hAnsi="宋体" w:cs="Arial"/>
          <w:color w:val="auto"/>
          <w:sz w:val="28"/>
          <w:szCs w:val="28"/>
          <w:highlight w:val="none"/>
        </w:rPr>
        <w:t>浙江广厦建设职业技术大学</w:t>
      </w:r>
      <w:r>
        <w:rPr>
          <w:rFonts w:hint="eastAsia" w:ascii="宋体" w:hAnsi="宋体" w:cs="Arial"/>
          <w:color w:val="auto"/>
          <w:sz w:val="28"/>
          <w:szCs w:val="28"/>
          <w:highlight w:val="none"/>
        </w:rPr>
        <w:t>东门门卫</w:t>
      </w:r>
      <w:r>
        <w:rPr>
          <w:rFonts w:hint="eastAsia" w:ascii="宋体" w:hAnsi="宋体"/>
          <w:color w:val="auto"/>
          <w:sz w:val="28"/>
          <w:szCs w:val="28"/>
          <w:highlight w:val="none"/>
        </w:rPr>
        <w:t>；截止时间：2021年</w:t>
      </w:r>
      <w:r>
        <w:rPr>
          <w:rFonts w:hint="eastAsia" w:ascii="宋体" w:hAnsi="宋体"/>
          <w:color w:val="auto"/>
          <w:sz w:val="28"/>
          <w:szCs w:val="28"/>
          <w:highlight w:val="none"/>
          <w:lang w:eastAsia="zh-CN"/>
        </w:rPr>
        <w:t>11月22日</w:t>
      </w: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11:00</w:t>
      </w:r>
      <w:r>
        <w:rPr>
          <w:rFonts w:hint="eastAsia" w:ascii="宋体" w:hAnsi="宋体"/>
          <w:color w:val="auto"/>
          <w:sz w:val="28"/>
          <w:szCs w:val="28"/>
          <w:highlight w:val="none"/>
        </w:rPr>
        <w:t>前。</w:t>
      </w:r>
    </w:p>
    <w:p>
      <w:pPr>
        <w:spacing w:line="440" w:lineRule="exact"/>
        <w:ind w:firstLine="140" w:firstLineChars="50"/>
        <w:rPr>
          <w:rFonts w:ascii="宋体" w:hAnsi="宋体"/>
          <w:color w:val="auto"/>
          <w:sz w:val="28"/>
          <w:szCs w:val="28"/>
          <w:highlight w:val="none"/>
        </w:rPr>
      </w:pPr>
      <w:r>
        <w:rPr>
          <w:rFonts w:hint="eastAsia" w:ascii="宋体" w:hAnsi="宋体"/>
          <w:color w:val="auto"/>
          <w:sz w:val="28"/>
          <w:szCs w:val="28"/>
          <w:highlight w:val="none"/>
        </w:rPr>
        <w:t>11.2投标人在规定的投标截止时间以后递交的投标文件，将被拒绝。</w:t>
      </w:r>
    </w:p>
    <w:p>
      <w:pPr>
        <w:spacing w:line="440" w:lineRule="exact"/>
        <w:rPr>
          <w:rFonts w:ascii="宋体" w:hAnsi="宋体"/>
          <w:b/>
          <w:color w:val="auto"/>
          <w:sz w:val="28"/>
          <w:szCs w:val="28"/>
          <w:highlight w:val="none"/>
        </w:rPr>
      </w:pPr>
      <w:r>
        <w:rPr>
          <w:rFonts w:ascii="宋体" w:hAnsi="宋体"/>
          <w:b/>
          <w:color w:val="auto"/>
          <w:sz w:val="28"/>
          <w:szCs w:val="28"/>
          <w:highlight w:val="none"/>
        </w:rPr>
        <w:t>1</w:t>
      </w:r>
      <w:r>
        <w:rPr>
          <w:rFonts w:hint="eastAsia" w:ascii="宋体" w:hAnsi="宋体"/>
          <w:b/>
          <w:color w:val="auto"/>
          <w:sz w:val="28"/>
          <w:szCs w:val="28"/>
          <w:highlight w:val="none"/>
        </w:rPr>
        <w:t>2．投标文件的接收：</w:t>
      </w:r>
      <w:r>
        <w:rPr>
          <w:rFonts w:hint="eastAsia" w:ascii="宋体" w:hAnsi="宋体"/>
          <w:color w:val="auto"/>
          <w:sz w:val="28"/>
          <w:szCs w:val="28"/>
          <w:highlight w:val="none"/>
        </w:rPr>
        <w:t>招标人应委派工作人员，在投标截止时间前，检查确认投标文件的包装、密封、标识、投标人全称、投标文件送达时间等均符合招标文件要求后，才能接收投标文件，否则招标人应当拒收或要求投标人在投标截止时间前纠正后重新递交投标文件。</w:t>
      </w:r>
    </w:p>
    <w:p>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五、开标与评标</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13．开 标</w:t>
      </w:r>
    </w:p>
    <w:p>
      <w:pPr>
        <w:spacing w:line="360" w:lineRule="auto"/>
        <w:ind w:firstLine="280" w:firstLineChars="100"/>
        <w:rPr>
          <w:rFonts w:ascii="宋体" w:hAnsi="宋体"/>
          <w:color w:val="auto"/>
          <w:sz w:val="28"/>
          <w:szCs w:val="28"/>
          <w:highlight w:val="none"/>
        </w:rPr>
      </w:pPr>
      <w:r>
        <w:rPr>
          <w:rFonts w:hint="eastAsia" w:ascii="宋体" w:hAnsi="宋体"/>
          <w:color w:val="auto"/>
          <w:sz w:val="28"/>
          <w:szCs w:val="28"/>
          <w:highlight w:val="none"/>
        </w:rPr>
        <w:t>13.1将在规定的时间和地点进行电子开标，投标方的法定代表人或其委托代理人应做好准备，准时在线参加电子开标会议，随时关注开标进度。</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开标由招标人主持，并在规定的地点公开开标。</w:t>
      </w:r>
    </w:p>
    <w:p>
      <w:pPr>
        <w:spacing w:line="360" w:lineRule="auto"/>
        <w:ind w:firstLine="280" w:firstLineChars="100"/>
        <w:rPr>
          <w:rFonts w:hint="eastAsia"/>
          <w:color w:val="auto"/>
          <w:sz w:val="28"/>
          <w:szCs w:val="28"/>
          <w:highlight w:val="none"/>
        </w:rPr>
      </w:pPr>
      <w:r>
        <w:rPr>
          <w:rFonts w:hint="eastAsia" w:ascii="宋体" w:hAnsi="宋体"/>
          <w:color w:val="auto"/>
          <w:sz w:val="28"/>
          <w:szCs w:val="28"/>
          <w:highlight w:val="none"/>
        </w:rPr>
        <w:t xml:space="preserve">13.2 </w:t>
      </w:r>
      <w:r>
        <w:rPr>
          <w:rFonts w:hint="eastAsia"/>
          <w:color w:val="auto"/>
          <w:sz w:val="28"/>
          <w:szCs w:val="28"/>
          <w:highlight w:val="none"/>
        </w:rPr>
        <w:t>招标人</w:t>
      </w:r>
      <w:r>
        <w:rPr>
          <w:color w:val="auto"/>
          <w:sz w:val="28"/>
          <w:szCs w:val="28"/>
          <w:highlight w:val="none"/>
        </w:rPr>
        <w:t>在投标截止时间后建立钉钉直播群</w:t>
      </w:r>
      <w:r>
        <w:rPr>
          <w:rFonts w:hint="eastAsia"/>
          <w:color w:val="auto"/>
          <w:sz w:val="28"/>
          <w:szCs w:val="28"/>
          <w:highlight w:val="none"/>
          <w:lang w:eastAsia="zh-CN"/>
        </w:rPr>
        <w:t>（</w:t>
      </w:r>
      <w:r>
        <w:rPr>
          <w:rFonts w:hint="eastAsia"/>
          <w:color w:val="auto"/>
          <w:sz w:val="28"/>
          <w:szCs w:val="28"/>
          <w:highlight w:val="none"/>
        </w:rPr>
        <w:t>由招标人在开标时间前半小时通知所有投标人加入钉钉群</w:t>
      </w:r>
      <w:r>
        <w:rPr>
          <w:rFonts w:hint="eastAsia"/>
          <w:color w:val="auto"/>
          <w:sz w:val="28"/>
          <w:szCs w:val="28"/>
          <w:highlight w:val="none"/>
          <w:lang w:eastAsia="zh-CN"/>
        </w:rPr>
        <w:t>），</w:t>
      </w:r>
      <w:r>
        <w:rPr>
          <w:color w:val="auto"/>
          <w:sz w:val="28"/>
          <w:szCs w:val="28"/>
          <w:highlight w:val="none"/>
        </w:rPr>
        <w:t>并开启群视频直播，对开标现场情况进行全程直播。</w:t>
      </w:r>
    </w:p>
    <w:p>
      <w:pPr>
        <w:spacing w:line="360" w:lineRule="auto"/>
        <w:ind w:firstLine="280" w:firstLineChars="100"/>
        <w:rPr>
          <w:color w:val="auto"/>
          <w:sz w:val="28"/>
          <w:szCs w:val="28"/>
          <w:highlight w:val="none"/>
        </w:rPr>
      </w:pPr>
      <w:r>
        <w:rPr>
          <w:rFonts w:hint="eastAsia"/>
          <w:color w:val="auto"/>
          <w:sz w:val="28"/>
          <w:szCs w:val="28"/>
          <w:highlight w:val="none"/>
        </w:rPr>
        <w:t>13.3 由招标人检查投标文件密封情况，逐一开启各投标人的投标文件，并按招标文件规定的评标程序对各投标文件进行评审。</w:t>
      </w:r>
    </w:p>
    <w:p>
      <w:pPr>
        <w:spacing w:line="360" w:lineRule="auto"/>
        <w:ind w:firstLine="280" w:firstLineChars="100"/>
        <w:rPr>
          <w:rFonts w:ascii="宋体" w:hAnsi="宋体"/>
          <w:color w:val="auto"/>
          <w:sz w:val="28"/>
          <w:szCs w:val="28"/>
          <w:highlight w:val="none"/>
        </w:rPr>
      </w:pPr>
      <w:r>
        <w:rPr>
          <w:rFonts w:hint="eastAsia"/>
          <w:color w:val="auto"/>
          <w:sz w:val="28"/>
          <w:szCs w:val="28"/>
          <w:highlight w:val="none"/>
        </w:rPr>
        <w:t>13.4各投标单位授权委托人必须在开评标期间保持电话及网络畅通，投标人也可在钉钉群里提出质疑，但质疑材料需加盖单位公章后拍照上传。投标人对开标过程提出质疑的，由招标人在钉钉群里进行回复。投标人对评审结果提出质疑的，由招标人请评标小组对质疑内容进行复核。</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14、评 标</w:t>
      </w:r>
    </w:p>
    <w:p>
      <w:pPr>
        <w:spacing w:line="44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14.1评标工作由浙江广厦建设职业技术大学依法组建评标小组，人员由</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人及以上奇数组成，其成员按规定组成。</w:t>
      </w:r>
    </w:p>
    <w:p>
      <w:pPr>
        <w:spacing w:line="44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14.2评标小组遵循公开、公平、公正的原则，按照第三章“评标办法、标准、程序及细则”规定的方法、评审因素、标准和程序对投标文件进行评审。</w:t>
      </w:r>
    </w:p>
    <w:p>
      <w:pPr>
        <w:spacing w:line="44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14.3推荐中标候选人：评标小组根据综合评分由高到低对投标文件进行排序，按综合得分排名确定中标候选人，如出现多家机构相同得分，由业主单位根据机构的信誉等综合因素进行考虑选择。</w:t>
      </w:r>
    </w:p>
    <w:p>
      <w:pPr>
        <w:pStyle w:val="7"/>
        <w:spacing w:line="440" w:lineRule="exact"/>
        <w:rPr>
          <w:rFonts w:hAnsi="宋体"/>
          <w:b/>
          <w:color w:val="auto"/>
          <w:sz w:val="28"/>
          <w:szCs w:val="28"/>
          <w:highlight w:val="none"/>
        </w:rPr>
      </w:pPr>
      <w:r>
        <w:rPr>
          <w:rFonts w:hint="eastAsia" w:hAnsi="宋体"/>
          <w:b/>
          <w:color w:val="auto"/>
          <w:sz w:val="28"/>
          <w:szCs w:val="28"/>
          <w:highlight w:val="none"/>
        </w:rPr>
        <w:t>15、</w:t>
      </w:r>
      <w:r>
        <w:rPr>
          <w:rFonts w:hAnsi="宋体"/>
          <w:b/>
          <w:color w:val="auto"/>
          <w:sz w:val="28"/>
          <w:szCs w:val="28"/>
          <w:highlight w:val="none"/>
        </w:rPr>
        <w:t>中标候选人履约能力审查</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 xml:space="preserve">  15.1评标小组完成评标后，招标人应根据评标小组提交的书面评标报告对中标候选人进行履约能力审查，履约能力审查时，如发现有不符合本项目招标文件要求或弄虚作假时，应取消中标候选人资格。中标候选人履约能力审查标准如下：</w:t>
      </w:r>
    </w:p>
    <w:p>
      <w:pPr>
        <w:pStyle w:val="3"/>
        <w:tabs>
          <w:tab w:val="left" w:pos="1000"/>
        </w:tabs>
        <w:adjustRightInd w:val="0"/>
        <w:snapToGrid w:val="0"/>
        <w:spacing w:line="440" w:lineRule="exact"/>
        <w:ind w:left="0" w:leftChars="0"/>
        <w:jc w:val="left"/>
        <w:rPr>
          <w:rFonts w:ascii="宋体" w:hAnsi="宋体"/>
          <w:snapToGrid w:val="0"/>
          <w:color w:val="auto"/>
          <w:sz w:val="28"/>
          <w:szCs w:val="28"/>
          <w:highlight w:val="none"/>
        </w:rPr>
      </w:pPr>
      <w:r>
        <w:rPr>
          <w:rFonts w:hint="eastAsia" w:ascii="宋体" w:hAnsi="宋体"/>
          <w:snapToGrid w:val="0"/>
          <w:color w:val="auto"/>
          <w:sz w:val="28"/>
          <w:szCs w:val="28"/>
          <w:highlight w:val="none"/>
        </w:rPr>
        <w:t>（1）行贿犯罪记录情况审核。中标候选人或其拟派项目负责人近三年来无行贿犯罪记录（以招标人到中国裁判文书网查询的行贿犯罪记录为准）为合格，否则为不合格；</w:t>
      </w:r>
    </w:p>
    <w:p>
      <w:pPr>
        <w:pStyle w:val="3"/>
        <w:tabs>
          <w:tab w:val="left" w:pos="1000"/>
        </w:tabs>
        <w:adjustRightInd w:val="0"/>
        <w:snapToGrid w:val="0"/>
        <w:spacing w:line="440" w:lineRule="exact"/>
        <w:ind w:left="0" w:leftChars="0"/>
        <w:jc w:val="left"/>
        <w:rPr>
          <w:rFonts w:ascii="宋体" w:hAnsi="宋体"/>
          <w:snapToGrid w:val="0"/>
          <w:color w:val="auto"/>
          <w:sz w:val="28"/>
          <w:szCs w:val="28"/>
          <w:highlight w:val="none"/>
        </w:rPr>
      </w:pPr>
      <w:r>
        <w:rPr>
          <w:rFonts w:hint="eastAsia" w:ascii="宋体" w:hAnsi="宋体"/>
          <w:snapToGrid w:val="0"/>
          <w:color w:val="auto"/>
          <w:sz w:val="28"/>
          <w:szCs w:val="28"/>
          <w:highlight w:val="none"/>
        </w:rPr>
        <w:t>（2）</w:t>
      </w:r>
      <w:r>
        <w:rPr>
          <w:rFonts w:hint="eastAsia" w:ascii="宋体" w:hAnsi="宋体"/>
          <w:color w:val="auto"/>
          <w:sz w:val="28"/>
          <w:szCs w:val="28"/>
          <w:highlight w:val="none"/>
        </w:rPr>
        <w:t>不良行为审核。</w:t>
      </w:r>
      <w:r>
        <w:rPr>
          <w:rFonts w:hint="eastAsia" w:ascii="宋体" w:hAnsi="宋体"/>
          <w:snapToGrid w:val="0"/>
          <w:color w:val="auto"/>
          <w:sz w:val="28"/>
          <w:szCs w:val="28"/>
          <w:highlight w:val="none"/>
        </w:rPr>
        <w:t>中标候选人或其拟派项目负责人在东阳市公共资源交易不良行为信息库中有</w:t>
      </w:r>
      <w:r>
        <w:rPr>
          <w:rFonts w:hint="eastAsia" w:ascii="宋体" w:hAnsi="宋体"/>
          <w:color w:val="auto"/>
          <w:sz w:val="28"/>
          <w:szCs w:val="28"/>
          <w:highlight w:val="none"/>
        </w:rPr>
        <w:t>不良行为记录并处于公告期内的，按履约能力不合格处理；</w:t>
      </w:r>
    </w:p>
    <w:p>
      <w:pPr>
        <w:pStyle w:val="3"/>
        <w:tabs>
          <w:tab w:val="left" w:pos="1000"/>
        </w:tabs>
        <w:adjustRightInd w:val="0"/>
        <w:snapToGrid w:val="0"/>
        <w:spacing w:line="440" w:lineRule="exact"/>
        <w:ind w:left="0" w:leftChars="0"/>
        <w:jc w:val="left"/>
        <w:rPr>
          <w:snapToGrid w:val="0"/>
          <w:color w:val="auto"/>
          <w:sz w:val="28"/>
          <w:szCs w:val="28"/>
          <w:highlight w:val="none"/>
        </w:rPr>
      </w:pPr>
      <w:r>
        <w:rPr>
          <w:rFonts w:hint="eastAsia" w:ascii="宋体" w:hAnsi="宋体"/>
          <w:color w:val="auto"/>
          <w:sz w:val="28"/>
          <w:szCs w:val="28"/>
          <w:highlight w:val="none"/>
        </w:rPr>
        <w:t>15.2中标候选人履约能力审查，在开标后三个工作日内完成，否则视为履约能力审查合格，并由招标人承担由此产生的一切后果。</w:t>
      </w:r>
    </w:p>
    <w:p>
      <w:pPr>
        <w:pStyle w:val="3"/>
        <w:tabs>
          <w:tab w:val="left" w:pos="1000"/>
        </w:tabs>
        <w:adjustRightInd w:val="0"/>
        <w:snapToGrid w:val="0"/>
        <w:spacing w:line="440" w:lineRule="exact"/>
        <w:ind w:left="0" w:leftChars="0" w:firstLine="281" w:firstLineChars="100"/>
        <w:jc w:val="center"/>
        <w:rPr>
          <w:rFonts w:ascii="宋体" w:hAnsi="宋体"/>
          <w:b/>
          <w:color w:val="auto"/>
          <w:sz w:val="28"/>
          <w:szCs w:val="28"/>
          <w:highlight w:val="none"/>
        </w:rPr>
      </w:pPr>
      <w:r>
        <w:rPr>
          <w:rFonts w:hint="eastAsia" w:ascii="宋体" w:hAnsi="宋体"/>
          <w:b/>
          <w:color w:val="auto"/>
          <w:sz w:val="28"/>
          <w:szCs w:val="28"/>
          <w:highlight w:val="none"/>
        </w:rPr>
        <w:t>六、中标通知与合同签订</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16、中标通知</w:t>
      </w:r>
    </w:p>
    <w:p>
      <w:pPr>
        <w:spacing w:line="44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16.1评标结果公示三个工作日无异议后，浙江广厦建设职业技术大学将按规定向中标方发出中标通知书,中标单位不超过4家。</w:t>
      </w:r>
    </w:p>
    <w:p>
      <w:pPr>
        <w:spacing w:line="44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16.2中标通知书发出后，中标方未在一个月内与招标方签订合同的，或中标方未及时提交履约保证金的，按自动放弃中标处理，并承担相应的法律责任。中标通知书对招标人和中标方具有同等法律效力，当确定的中标人放弃中标，招标人可以依此类推，由排名在后的中标候选人(以投标结果公示名单为准)中标，或者重新组织招标补缺。</w:t>
      </w:r>
    </w:p>
    <w:p>
      <w:pPr>
        <w:spacing w:line="440" w:lineRule="exact"/>
        <w:rPr>
          <w:rFonts w:ascii="宋体" w:hAnsi="宋体"/>
          <w:color w:val="auto"/>
          <w:sz w:val="28"/>
          <w:szCs w:val="28"/>
          <w:highlight w:val="none"/>
        </w:rPr>
      </w:pPr>
      <w:r>
        <w:rPr>
          <w:rFonts w:hint="eastAsia" w:ascii="宋体" w:hAnsi="宋体"/>
          <w:b/>
          <w:color w:val="auto"/>
          <w:sz w:val="28"/>
          <w:szCs w:val="28"/>
          <w:highlight w:val="none"/>
        </w:rPr>
        <w:t>17、合同签订：</w:t>
      </w:r>
      <w:r>
        <w:rPr>
          <w:rFonts w:hint="eastAsia" w:ascii="宋体" w:hAnsi="宋体"/>
          <w:color w:val="auto"/>
          <w:sz w:val="28"/>
          <w:szCs w:val="28"/>
          <w:highlight w:val="none"/>
        </w:rPr>
        <w:t>中标方与浙江广厦建设职业技术大学签订《</w:t>
      </w:r>
      <w:r>
        <w:rPr>
          <w:rFonts w:hint="eastAsia" w:ascii="宋体" w:hAnsi="宋体"/>
          <w:color w:val="auto"/>
          <w:sz w:val="28"/>
          <w:szCs w:val="28"/>
          <w:highlight w:val="none"/>
          <w:lang w:eastAsia="zh-CN"/>
        </w:rPr>
        <w:t>工程</w:t>
      </w:r>
      <w:r>
        <w:rPr>
          <w:rFonts w:hint="eastAsia" w:ascii="宋体" w:hAnsi="宋体"/>
          <w:color w:val="auto"/>
          <w:sz w:val="28"/>
          <w:szCs w:val="28"/>
          <w:highlight w:val="none"/>
        </w:rPr>
        <w:t>建设项目工程预结算编审协议书》，合同期限为暂定壹年（2021年12月至2022年11月），编审费等费用由招标方支付，工程结算审核追加费用（核减额超过5%部分）由施工方承担。</w:t>
      </w:r>
    </w:p>
    <w:p>
      <w:pPr>
        <w:spacing w:line="440" w:lineRule="exact"/>
        <w:rPr>
          <w:rFonts w:ascii="宋体" w:hAnsi="宋体"/>
          <w:b/>
          <w:color w:val="auto"/>
          <w:sz w:val="28"/>
          <w:szCs w:val="28"/>
          <w:highlight w:val="none"/>
        </w:rPr>
      </w:pPr>
      <w:r>
        <w:rPr>
          <w:rFonts w:hint="eastAsia" w:ascii="宋体" w:hAnsi="宋体"/>
          <w:b/>
          <w:color w:val="auto"/>
          <w:sz w:val="28"/>
          <w:szCs w:val="28"/>
          <w:highlight w:val="none"/>
        </w:rPr>
        <w:t>18、合同其它主要内容：</w:t>
      </w:r>
    </w:p>
    <w:p>
      <w:pPr>
        <w:spacing w:line="440" w:lineRule="exact"/>
        <w:rPr>
          <w:rFonts w:ascii="宋体" w:hAnsi="宋体"/>
          <w:color w:val="auto"/>
          <w:spacing w:val="2"/>
          <w:sz w:val="28"/>
          <w:szCs w:val="28"/>
          <w:highlight w:val="none"/>
        </w:rPr>
      </w:pPr>
      <w:r>
        <w:rPr>
          <w:rFonts w:hint="eastAsia" w:ascii="宋体" w:hAnsi="宋体"/>
          <w:color w:val="auto"/>
          <w:spacing w:val="2"/>
          <w:sz w:val="28"/>
          <w:szCs w:val="28"/>
          <w:highlight w:val="none"/>
        </w:rPr>
        <w:t>（1）预算编制的单位不得参与同一预算的审核；</w:t>
      </w:r>
    </w:p>
    <w:p>
      <w:pPr>
        <w:spacing w:line="440" w:lineRule="exact"/>
        <w:rPr>
          <w:color w:val="auto"/>
          <w:sz w:val="28"/>
          <w:szCs w:val="28"/>
          <w:highlight w:val="none"/>
        </w:rPr>
      </w:pPr>
      <w:r>
        <w:rPr>
          <w:rFonts w:hint="eastAsia"/>
          <w:color w:val="auto"/>
          <w:sz w:val="28"/>
          <w:szCs w:val="28"/>
          <w:highlight w:val="none"/>
        </w:rPr>
        <w:t>（2）合同执行中相关的一切税费均由审价机构负担；服务项目按要求完成后予以结算付款；</w:t>
      </w:r>
    </w:p>
    <w:p>
      <w:pPr>
        <w:spacing w:line="440" w:lineRule="exact"/>
        <w:rPr>
          <w:rFonts w:ascii="宋体" w:hAnsi="宋体"/>
          <w:color w:val="auto"/>
          <w:sz w:val="28"/>
          <w:szCs w:val="28"/>
          <w:highlight w:val="none"/>
        </w:rPr>
      </w:pPr>
      <w:r>
        <w:rPr>
          <w:rFonts w:hint="eastAsia" w:ascii="宋体" w:hAnsi="宋体"/>
          <w:color w:val="auto"/>
          <w:sz w:val="28"/>
          <w:szCs w:val="28"/>
          <w:highlight w:val="none"/>
        </w:rPr>
        <w:t>（3）合同履行地点在学校，编审单位应在东阳范围内设立办公场所，并配备招标文件中拟参加编审人员一栏表中的人员参加有关编审，同时安排上述人员来办理有关资料的收取、送达等事宜；</w:t>
      </w:r>
    </w:p>
    <w:p>
      <w:pPr>
        <w:spacing w:line="440" w:lineRule="exact"/>
        <w:rPr>
          <w:color w:val="auto"/>
          <w:sz w:val="28"/>
          <w:szCs w:val="28"/>
          <w:highlight w:val="none"/>
        </w:rPr>
      </w:pPr>
      <w:r>
        <w:rPr>
          <w:rFonts w:hint="eastAsia"/>
          <w:color w:val="auto"/>
          <w:sz w:val="28"/>
          <w:szCs w:val="28"/>
          <w:highlight w:val="none"/>
        </w:rPr>
        <w:t>（4）在合同有效期内不得泄露与该工程编审业务有关的保密数据资料；</w:t>
      </w:r>
    </w:p>
    <w:p>
      <w:pPr>
        <w:spacing w:line="440" w:lineRule="exact"/>
        <w:rPr>
          <w:color w:val="auto"/>
          <w:sz w:val="28"/>
          <w:szCs w:val="28"/>
          <w:highlight w:val="none"/>
        </w:rPr>
      </w:pPr>
      <w:r>
        <w:rPr>
          <w:rFonts w:hint="eastAsia"/>
          <w:color w:val="auto"/>
          <w:sz w:val="28"/>
          <w:szCs w:val="28"/>
          <w:highlight w:val="none"/>
        </w:rPr>
        <w:t>（5）编审单位应按招标文件规定提供服务，并由该单位直接提供，不得转让他人供应；</w:t>
      </w:r>
    </w:p>
    <w:p>
      <w:pPr>
        <w:spacing w:line="440" w:lineRule="exact"/>
        <w:rPr>
          <w:color w:val="auto"/>
          <w:sz w:val="28"/>
          <w:szCs w:val="28"/>
          <w:highlight w:val="none"/>
        </w:rPr>
      </w:pPr>
      <w:r>
        <w:rPr>
          <w:rFonts w:hint="eastAsia"/>
          <w:color w:val="auto"/>
          <w:sz w:val="28"/>
          <w:szCs w:val="28"/>
          <w:highlight w:val="none"/>
        </w:rPr>
        <w:t>（6）在服务期内，编审机构应对出现的差错及其他问题负责处理解决并承担一切费用；</w:t>
      </w:r>
    </w:p>
    <w:p>
      <w:pPr>
        <w:spacing w:line="440" w:lineRule="exact"/>
        <w:rPr>
          <w:color w:val="auto"/>
          <w:sz w:val="28"/>
          <w:szCs w:val="28"/>
          <w:highlight w:val="none"/>
        </w:rPr>
      </w:pPr>
      <w:r>
        <w:rPr>
          <w:rFonts w:hint="eastAsia"/>
          <w:color w:val="auto"/>
          <w:sz w:val="28"/>
          <w:szCs w:val="28"/>
          <w:highlight w:val="none"/>
        </w:rPr>
        <w:t>（7）如果因编审机构自身原因造成逾期的，自逾期之日起，每日扣除该项目</w:t>
      </w:r>
      <w:r>
        <w:rPr>
          <w:color w:val="auto"/>
          <w:sz w:val="28"/>
          <w:szCs w:val="28"/>
          <w:highlight w:val="none"/>
        </w:rPr>
        <w:t>2</w:t>
      </w:r>
      <w:r>
        <w:rPr>
          <w:rFonts w:hint="eastAsia" w:ascii="宋体" w:hAnsi="宋体"/>
          <w:color w:val="auto"/>
          <w:sz w:val="28"/>
          <w:szCs w:val="28"/>
          <w:highlight w:val="none"/>
        </w:rPr>
        <w:t>﹪</w:t>
      </w:r>
      <w:r>
        <w:rPr>
          <w:rFonts w:hint="eastAsia"/>
          <w:color w:val="auto"/>
          <w:sz w:val="28"/>
          <w:szCs w:val="28"/>
          <w:highlight w:val="none"/>
        </w:rPr>
        <w:t>的编审费，累计扣除不超过编审费用的总数（扣除税金），累计三次逾期的，中止合同；</w:t>
      </w:r>
    </w:p>
    <w:p>
      <w:pPr>
        <w:spacing w:line="440" w:lineRule="exact"/>
        <w:rPr>
          <w:rFonts w:ascii="宋体" w:hAnsi="宋体"/>
          <w:color w:val="auto"/>
          <w:sz w:val="28"/>
          <w:szCs w:val="28"/>
          <w:highlight w:val="none"/>
        </w:rPr>
      </w:pPr>
      <w:r>
        <w:rPr>
          <w:rFonts w:hint="eastAsia"/>
          <w:color w:val="auto"/>
          <w:sz w:val="28"/>
          <w:szCs w:val="28"/>
          <w:highlight w:val="none"/>
        </w:rPr>
        <w:t>（8）编审结果误差率高于</w:t>
      </w:r>
      <w:r>
        <w:rPr>
          <w:color w:val="auto"/>
          <w:sz w:val="28"/>
          <w:szCs w:val="28"/>
          <w:highlight w:val="none"/>
        </w:rPr>
        <w:t>3</w:t>
      </w:r>
      <w:r>
        <w:rPr>
          <w:rFonts w:hint="eastAsia" w:ascii="宋体" w:hAnsi="宋体"/>
          <w:color w:val="auto"/>
          <w:sz w:val="28"/>
          <w:szCs w:val="28"/>
          <w:highlight w:val="none"/>
        </w:rPr>
        <w:t>﹪的，不支付该项目编审费，累计</w:t>
      </w:r>
      <w:r>
        <w:rPr>
          <w:rFonts w:hint="eastAsia" w:ascii="宋体" w:hAnsi="宋体"/>
          <w:color w:val="auto"/>
          <w:sz w:val="28"/>
          <w:szCs w:val="28"/>
          <w:highlight w:val="none"/>
          <w:lang w:eastAsia="zh-CN"/>
        </w:rPr>
        <w:t>两</w:t>
      </w:r>
      <w:r>
        <w:rPr>
          <w:rFonts w:hint="eastAsia" w:ascii="宋体" w:hAnsi="宋体"/>
          <w:color w:val="auto"/>
          <w:sz w:val="28"/>
          <w:szCs w:val="28"/>
          <w:highlight w:val="none"/>
        </w:rPr>
        <w:t>次超过3%的，中止合同；</w:t>
      </w:r>
    </w:p>
    <w:p>
      <w:pPr>
        <w:spacing w:line="440" w:lineRule="exact"/>
        <w:rPr>
          <w:color w:val="auto"/>
          <w:sz w:val="28"/>
          <w:szCs w:val="28"/>
          <w:highlight w:val="none"/>
        </w:rPr>
      </w:pPr>
      <w:r>
        <w:rPr>
          <w:rFonts w:hint="eastAsia" w:ascii="宋体" w:hAnsi="宋体"/>
          <w:color w:val="auto"/>
          <w:sz w:val="28"/>
          <w:szCs w:val="28"/>
          <w:highlight w:val="none"/>
        </w:rPr>
        <w:t>（9）编审机构不能安排招标文件中拟参加编审人员一栏表中的人员参加有关项目编审的，或者</w:t>
      </w:r>
      <w:r>
        <w:rPr>
          <w:rFonts w:hint="eastAsia"/>
          <w:color w:val="auto"/>
          <w:sz w:val="28"/>
          <w:szCs w:val="28"/>
          <w:highlight w:val="none"/>
        </w:rPr>
        <w:t>有转让和未经招标方同意的分包行为，</w:t>
      </w:r>
      <w:r>
        <w:rPr>
          <w:rFonts w:hint="eastAsia" w:ascii="宋体" w:hAnsi="宋体"/>
          <w:color w:val="auto"/>
          <w:sz w:val="28"/>
          <w:szCs w:val="28"/>
          <w:highlight w:val="none"/>
        </w:rPr>
        <w:t>招标方有权解除合同，没收</w:t>
      </w:r>
      <w:r>
        <w:rPr>
          <w:rFonts w:hint="eastAsia"/>
          <w:color w:val="auto"/>
          <w:sz w:val="28"/>
          <w:szCs w:val="28"/>
          <w:highlight w:val="none"/>
        </w:rPr>
        <w:t>履约保证金；</w:t>
      </w:r>
    </w:p>
    <w:p>
      <w:pPr>
        <w:spacing w:line="440" w:lineRule="exact"/>
        <w:rPr>
          <w:rFonts w:ascii="宋体" w:hAnsi="宋体"/>
          <w:color w:val="auto"/>
          <w:spacing w:val="2"/>
          <w:sz w:val="28"/>
          <w:szCs w:val="28"/>
          <w:highlight w:val="none"/>
        </w:rPr>
      </w:pPr>
      <w:r>
        <w:rPr>
          <w:rFonts w:hint="eastAsia"/>
          <w:color w:val="auto"/>
          <w:sz w:val="28"/>
          <w:szCs w:val="28"/>
          <w:highlight w:val="none"/>
        </w:rPr>
        <w:t>（10）双方在执行合同中所发生的一切争议，应通过协商解决，如协商不成，可向招标方所在地法院起诉。</w:t>
      </w:r>
    </w:p>
    <w:p>
      <w:pPr>
        <w:pStyle w:val="7"/>
        <w:spacing w:line="440" w:lineRule="exact"/>
        <w:outlineLvl w:val="0"/>
        <w:rPr>
          <w:rFonts w:hAnsi="宋体" w:cs="宋体"/>
          <w:color w:val="auto"/>
          <w:sz w:val="28"/>
          <w:szCs w:val="28"/>
          <w:highlight w:val="none"/>
        </w:rPr>
      </w:pPr>
      <w:r>
        <w:rPr>
          <w:rFonts w:hint="eastAsia" w:hAnsi="宋体" w:cs="宋体"/>
          <w:b/>
          <w:color w:val="auto"/>
          <w:sz w:val="28"/>
          <w:szCs w:val="28"/>
          <w:highlight w:val="none"/>
        </w:rPr>
        <w:t>19、履约保证金</w:t>
      </w:r>
      <w:r>
        <w:rPr>
          <w:rFonts w:hint="eastAsia" w:hAnsi="宋体" w:cs="宋体"/>
          <w:color w:val="auto"/>
          <w:sz w:val="28"/>
          <w:szCs w:val="28"/>
          <w:highlight w:val="none"/>
        </w:rPr>
        <w:t>：</w:t>
      </w:r>
    </w:p>
    <w:p>
      <w:pPr>
        <w:pStyle w:val="7"/>
        <w:spacing w:line="440" w:lineRule="exact"/>
        <w:ind w:firstLine="420" w:firstLineChars="150"/>
        <w:outlineLvl w:val="0"/>
        <w:rPr>
          <w:rFonts w:hAnsi="宋体" w:cs="宋体"/>
          <w:color w:val="auto"/>
          <w:sz w:val="28"/>
          <w:szCs w:val="28"/>
          <w:highlight w:val="none"/>
        </w:rPr>
      </w:pPr>
      <w:r>
        <w:rPr>
          <w:rFonts w:hint="eastAsia" w:hAnsi="宋体"/>
          <w:color w:val="auto"/>
          <w:sz w:val="28"/>
          <w:szCs w:val="28"/>
          <w:highlight w:val="none"/>
        </w:rPr>
        <w:t>19.</w:t>
      </w:r>
      <w:r>
        <w:rPr>
          <w:rFonts w:hint="eastAsia" w:hAnsi="宋体" w:cs="宋体"/>
          <w:color w:val="auto"/>
          <w:sz w:val="28"/>
          <w:szCs w:val="28"/>
          <w:highlight w:val="none"/>
        </w:rPr>
        <w:t>1合同签订前，中标人提交</w:t>
      </w:r>
      <w:r>
        <w:rPr>
          <w:rFonts w:hint="eastAsia" w:hAnsi="宋体"/>
          <w:color w:val="auto"/>
          <w:sz w:val="28"/>
          <w:szCs w:val="28"/>
          <w:highlight w:val="none"/>
        </w:rPr>
        <w:t>履</w:t>
      </w:r>
      <w:r>
        <w:rPr>
          <w:rFonts w:hint="eastAsia" w:hAnsi="宋体" w:cs="宋体"/>
          <w:color w:val="auto"/>
          <w:sz w:val="28"/>
          <w:szCs w:val="28"/>
          <w:highlight w:val="none"/>
        </w:rPr>
        <w:t>约保证金伍仟元整（需汇入招标人指定账户），其有效期到合同履行完毕时止，此保证金将在造价咨询合同履行完毕后30天内，无息归还中标人；</w:t>
      </w:r>
    </w:p>
    <w:p>
      <w:pPr>
        <w:pStyle w:val="7"/>
        <w:spacing w:line="440" w:lineRule="exact"/>
        <w:ind w:firstLine="420" w:firstLineChars="150"/>
        <w:outlineLvl w:val="0"/>
        <w:rPr>
          <w:rFonts w:hAnsi="宋体" w:cs="宋体"/>
          <w:b/>
          <w:color w:val="auto"/>
          <w:sz w:val="28"/>
          <w:szCs w:val="28"/>
          <w:highlight w:val="none"/>
        </w:rPr>
      </w:pPr>
      <w:r>
        <w:rPr>
          <w:rFonts w:hint="eastAsia" w:hAnsi="宋体"/>
          <w:color w:val="auto"/>
          <w:sz w:val="28"/>
          <w:szCs w:val="28"/>
          <w:highlight w:val="none"/>
        </w:rPr>
        <w:t>19.</w:t>
      </w:r>
      <w:r>
        <w:rPr>
          <w:rFonts w:hint="eastAsia" w:hAnsi="宋体" w:cs="宋体"/>
          <w:color w:val="auto"/>
          <w:sz w:val="28"/>
          <w:szCs w:val="28"/>
          <w:highlight w:val="none"/>
        </w:rPr>
        <w:t>2有下列情况之一时，招标人将没收中标人的履约保证金，并有权单方终止合同，由此造成的损失由中标人负责。</w:t>
      </w:r>
    </w:p>
    <w:p>
      <w:pPr>
        <w:pStyle w:val="7"/>
        <w:spacing w:line="44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(1)合同执行期间，中标人或其成员拒绝接受招标人管理，或中标单位工作人员不能胜任本职工作，且中标人又不能按招标人要求及时更换；</w:t>
      </w:r>
    </w:p>
    <w:p>
      <w:pPr>
        <w:pStyle w:val="7"/>
        <w:spacing w:line="44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(2) 中标人严重失职造成较大影响及损失的；</w:t>
      </w:r>
    </w:p>
    <w:p>
      <w:pPr>
        <w:pStyle w:val="7"/>
        <w:spacing w:line="440" w:lineRule="exact"/>
        <w:ind w:firstLine="420" w:firstLineChars="150"/>
        <w:rPr>
          <w:rFonts w:hAnsi="宋体" w:cs="宋体"/>
          <w:color w:val="auto"/>
          <w:sz w:val="28"/>
          <w:szCs w:val="28"/>
          <w:highlight w:val="none"/>
        </w:rPr>
      </w:pPr>
      <w:r>
        <w:rPr>
          <w:rFonts w:hint="eastAsia" w:hAnsi="宋体"/>
          <w:color w:val="auto"/>
          <w:sz w:val="28"/>
          <w:szCs w:val="28"/>
          <w:highlight w:val="none"/>
        </w:rPr>
        <w:t>（3）中标人</w:t>
      </w:r>
      <w:r>
        <w:rPr>
          <w:rFonts w:hint="eastAsia" w:hAnsi="宋体"/>
          <w:color w:val="auto"/>
          <w:sz w:val="28"/>
          <w:szCs w:val="28"/>
          <w:highlight w:val="none"/>
          <w:lang w:eastAsia="zh-CN"/>
        </w:rPr>
        <w:t>三</w:t>
      </w:r>
      <w:r>
        <w:rPr>
          <w:rFonts w:hint="eastAsia" w:hAnsi="宋体"/>
          <w:color w:val="auto"/>
          <w:sz w:val="28"/>
          <w:szCs w:val="28"/>
          <w:highlight w:val="none"/>
        </w:rPr>
        <w:t>次因自身原因超过编审时限完成任务，或编审结果误差率超过3%以上达</w:t>
      </w:r>
      <w:r>
        <w:rPr>
          <w:rFonts w:hint="eastAsia" w:hAnsi="宋体"/>
          <w:color w:val="auto"/>
          <w:sz w:val="28"/>
          <w:szCs w:val="28"/>
          <w:highlight w:val="none"/>
          <w:lang w:eastAsia="zh-CN"/>
        </w:rPr>
        <w:t>两</w:t>
      </w:r>
      <w:r>
        <w:rPr>
          <w:rFonts w:hint="eastAsia" w:hAnsi="宋体"/>
          <w:color w:val="auto"/>
          <w:sz w:val="28"/>
          <w:szCs w:val="28"/>
          <w:highlight w:val="none"/>
        </w:rPr>
        <w:t>次；</w:t>
      </w:r>
    </w:p>
    <w:p>
      <w:pPr>
        <w:pStyle w:val="7"/>
        <w:spacing w:line="44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(4) 中标人及其职员私自接受工程项目投标人、施工承包人等的报酬或其他经济利益，给招标人造成较大经济损失的；</w:t>
      </w:r>
    </w:p>
    <w:p>
      <w:pPr>
        <w:pStyle w:val="7"/>
        <w:spacing w:line="44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(5) 中标人委派的项目负责人及其他工作人员与投标承诺不符或未经招标人同意调换人员，严重影响工作的；</w:t>
      </w:r>
    </w:p>
    <w:p>
      <w:pPr>
        <w:spacing w:line="440" w:lineRule="exact"/>
        <w:ind w:firstLine="570" w:firstLineChars="200"/>
        <w:jc w:val="center"/>
        <w:outlineLvl w:val="0"/>
        <w:rPr>
          <w:rFonts w:ascii="宋体" w:hAnsi="宋体"/>
          <w:b/>
          <w:color w:val="auto"/>
          <w:spacing w:val="2"/>
          <w:sz w:val="28"/>
          <w:szCs w:val="28"/>
          <w:highlight w:val="none"/>
        </w:rPr>
      </w:pPr>
      <w:r>
        <w:rPr>
          <w:rFonts w:hint="eastAsia" w:ascii="宋体" w:hAnsi="宋体"/>
          <w:b/>
          <w:color w:val="auto"/>
          <w:spacing w:val="2"/>
          <w:sz w:val="28"/>
          <w:szCs w:val="28"/>
          <w:highlight w:val="none"/>
        </w:rPr>
        <w:t>七、其它</w:t>
      </w:r>
    </w:p>
    <w:p>
      <w:pPr>
        <w:spacing w:line="440" w:lineRule="exact"/>
        <w:rPr>
          <w:rFonts w:ascii="宋体" w:hAnsi="宋体"/>
          <w:color w:val="auto"/>
          <w:spacing w:val="2"/>
          <w:sz w:val="28"/>
          <w:szCs w:val="28"/>
          <w:highlight w:val="none"/>
        </w:rPr>
      </w:pPr>
      <w:r>
        <w:rPr>
          <w:rFonts w:hint="eastAsia" w:ascii="宋体" w:hAnsi="宋体"/>
          <w:color w:val="auto"/>
          <w:spacing w:val="2"/>
          <w:sz w:val="28"/>
          <w:szCs w:val="28"/>
          <w:highlight w:val="none"/>
        </w:rPr>
        <w:t>20、经评标小组评审后否决所有投标，或者投标截止时间止投标人少于3家的，招标人应重新招标；</w:t>
      </w:r>
    </w:p>
    <w:p>
      <w:pPr>
        <w:spacing w:line="440" w:lineRule="exact"/>
        <w:rPr>
          <w:rFonts w:hint="eastAsia" w:ascii="宋体" w:hAnsi="宋体" w:eastAsia="宋体"/>
          <w:color w:val="auto"/>
          <w:spacing w:val="2"/>
          <w:sz w:val="28"/>
          <w:szCs w:val="28"/>
          <w:highlight w:val="none"/>
          <w:lang w:eastAsia="zh-CN"/>
        </w:rPr>
      </w:pPr>
      <w:r>
        <w:rPr>
          <w:rFonts w:hint="eastAsia" w:ascii="宋体" w:hAnsi="宋体"/>
          <w:color w:val="auto"/>
          <w:spacing w:val="2"/>
          <w:sz w:val="28"/>
          <w:szCs w:val="28"/>
          <w:highlight w:val="none"/>
        </w:rPr>
        <w:t>21、招标人对招标结果不作任何解释</w:t>
      </w:r>
      <w:r>
        <w:rPr>
          <w:rFonts w:hint="eastAsia" w:ascii="宋体" w:hAnsi="宋体"/>
          <w:color w:val="auto"/>
          <w:spacing w:val="2"/>
          <w:sz w:val="28"/>
          <w:szCs w:val="28"/>
          <w:highlight w:val="none"/>
          <w:lang w:eastAsia="zh-CN"/>
        </w:rPr>
        <w:t>。</w:t>
      </w:r>
    </w:p>
    <w:p>
      <w:pPr>
        <w:spacing w:line="500" w:lineRule="exact"/>
        <w:jc w:val="center"/>
        <w:rPr>
          <w:rFonts w:ascii="宋体" w:hAnsi="宋体"/>
          <w:b/>
          <w:color w:val="auto"/>
          <w:sz w:val="28"/>
          <w:szCs w:val="28"/>
          <w:highlight w:val="none"/>
        </w:rPr>
      </w:pPr>
      <w:r>
        <w:rPr>
          <w:rFonts w:ascii="宋体" w:hAnsi="宋体"/>
          <w:b/>
          <w:color w:val="auto"/>
          <w:sz w:val="28"/>
          <w:szCs w:val="28"/>
          <w:highlight w:val="none"/>
        </w:rPr>
        <w:t>第三章 评标方法、标准、程序</w:t>
      </w:r>
      <w:r>
        <w:rPr>
          <w:rFonts w:hint="eastAsia" w:ascii="宋体" w:hAnsi="宋体"/>
          <w:b/>
          <w:color w:val="auto"/>
          <w:sz w:val="28"/>
          <w:szCs w:val="28"/>
          <w:highlight w:val="none"/>
        </w:rPr>
        <w:t>及细则</w:t>
      </w:r>
    </w:p>
    <w:p>
      <w:pPr>
        <w:spacing w:line="400" w:lineRule="atLeast"/>
        <w:rPr>
          <w:rFonts w:ascii="宋体" w:hAnsi="宋体"/>
          <w:b/>
          <w:color w:val="auto"/>
          <w:sz w:val="28"/>
          <w:szCs w:val="28"/>
          <w:highlight w:val="none"/>
        </w:rPr>
      </w:pPr>
      <w:r>
        <w:rPr>
          <w:rFonts w:hint="eastAsia" w:ascii="宋体" w:hAnsi="宋体"/>
          <w:b/>
          <w:color w:val="auto"/>
          <w:sz w:val="28"/>
          <w:szCs w:val="28"/>
          <w:highlight w:val="none"/>
        </w:rPr>
        <w:t>（一）评标方法</w:t>
      </w:r>
    </w:p>
    <w:p>
      <w:pPr>
        <w:ind w:firstLine="280" w:firstLineChars="100"/>
        <w:rPr>
          <w:rFonts w:ascii="宋体" w:hAnsi="宋体"/>
          <w:color w:val="auto"/>
          <w:sz w:val="28"/>
          <w:szCs w:val="28"/>
          <w:highlight w:val="none"/>
        </w:rPr>
      </w:pPr>
      <w:r>
        <w:rPr>
          <w:rFonts w:hint="eastAsia" w:ascii="宋体" w:hAnsi="宋体"/>
          <w:color w:val="auto"/>
          <w:sz w:val="28"/>
          <w:szCs w:val="28"/>
          <w:highlight w:val="none"/>
        </w:rPr>
        <w:t>本次评标采用综合评估法。商务25分，报价75分（预算编制25分+预算审核25分+结算审核25分）。对满足招标文件实质性要求的投标文件，按照本章规定的评分标准进行打分，并按得分由高到低顺序推荐中标候选人。</w:t>
      </w:r>
    </w:p>
    <w:p>
      <w:pPr>
        <w:pStyle w:val="19"/>
        <w:spacing w:after="0" w:line="240" w:lineRule="auto"/>
        <w:rPr>
          <w:rFonts w:ascii="宋体" w:hAnsi="宋体" w:cs="Times New Roman"/>
          <w:color w:val="auto"/>
          <w:kern w:val="2"/>
          <w:sz w:val="28"/>
          <w:szCs w:val="28"/>
          <w:highlight w:val="none"/>
        </w:rPr>
      </w:pPr>
      <w:r>
        <w:rPr>
          <w:rFonts w:hint="eastAsia" w:ascii="宋体" w:hAnsi="宋体"/>
          <w:color w:val="auto"/>
          <w:sz w:val="28"/>
          <w:szCs w:val="28"/>
          <w:highlight w:val="none"/>
        </w:rPr>
        <w:t>商务评</w:t>
      </w:r>
      <w:r>
        <w:rPr>
          <w:rFonts w:hint="eastAsia" w:ascii="宋体" w:hAnsi="宋体" w:cs="Times New Roman"/>
          <w:color w:val="auto"/>
          <w:kern w:val="2"/>
          <w:sz w:val="28"/>
          <w:szCs w:val="28"/>
          <w:highlight w:val="none"/>
        </w:rPr>
        <w:t>分标准：（未提供相关证明不得分）</w:t>
      </w:r>
    </w:p>
    <w:p>
      <w:pPr>
        <w:pStyle w:val="19"/>
        <w:spacing w:after="0" w:line="240" w:lineRule="auto"/>
        <w:ind w:firstLine="560" w:firstLineChars="200"/>
        <w:rPr>
          <w:rFonts w:ascii="宋体" w:hAnsi="宋体" w:cs="Times New Roman"/>
          <w:color w:val="auto"/>
          <w:kern w:val="2"/>
          <w:sz w:val="28"/>
          <w:szCs w:val="28"/>
          <w:highlight w:val="none"/>
        </w:rPr>
      </w:pPr>
      <w:r>
        <w:rPr>
          <w:rFonts w:hint="eastAsia" w:ascii="宋体" w:hAnsi="宋体" w:cs="Times New Roman"/>
          <w:color w:val="auto"/>
          <w:kern w:val="2"/>
          <w:sz w:val="28"/>
          <w:szCs w:val="28"/>
          <w:highlight w:val="none"/>
        </w:rPr>
        <w:t>1、在东阳成立具有独立法人资质的得10分；在金华地区（除东阳）成立具有独立法人资质得5分；（满分10分）</w:t>
      </w:r>
    </w:p>
    <w:p>
      <w:pPr>
        <w:pStyle w:val="19"/>
        <w:spacing w:after="0" w:line="240" w:lineRule="auto"/>
        <w:ind w:firstLine="560" w:firstLineChars="200"/>
        <w:rPr>
          <w:rFonts w:ascii="宋体" w:hAnsi="宋体" w:cs="Times New Roman"/>
          <w:color w:val="auto"/>
          <w:kern w:val="2"/>
          <w:sz w:val="28"/>
          <w:szCs w:val="28"/>
          <w:highlight w:val="none"/>
        </w:rPr>
      </w:pPr>
      <w:r>
        <w:rPr>
          <w:rFonts w:hint="eastAsia" w:ascii="宋体" w:hAnsi="宋体" w:cs="Times New Roman"/>
          <w:color w:val="auto"/>
          <w:kern w:val="2"/>
          <w:sz w:val="28"/>
          <w:szCs w:val="28"/>
          <w:highlight w:val="none"/>
        </w:rPr>
        <w:t>2、2019年、2020年度东阳市财政局审核优秀单位得10分，良好5分（按最高次计算）；（满分10分）</w:t>
      </w:r>
    </w:p>
    <w:p>
      <w:pPr>
        <w:pStyle w:val="19"/>
        <w:numPr>
          <w:ilvl w:val="0"/>
          <w:numId w:val="1"/>
        </w:numPr>
        <w:spacing w:after="0" w:line="240" w:lineRule="auto"/>
        <w:ind w:firstLine="560" w:firstLineChars="200"/>
        <w:rPr>
          <w:rFonts w:ascii="宋体" w:hAnsi="宋体" w:cs="Times New Roman"/>
          <w:color w:val="auto"/>
          <w:kern w:val="2"/>
          <w:sz w:val="28"/>
          <w:szCs w:val="28"/>
          <w:highlight w:val="none"/>
        </w:rPr>
      </w:pPr>
      <w:r>
        <w:rPr>
          <w:rFonts w:hint="eastAsia" w:ascii="宋体" w:hAnsi="宋体" w:cs="Times New Roman"/>
          <w:color w:val="auto"/>
          <w:kern w:val="2"/>
          <w:sz w:val="28"/>
          <w:szCs w:val="28"/>
          <w:highlight w:val="none"/>
        </w:rPr>
        <w:t>入围2018至2019年度东阳市审计局协审单位得5分。（满分5分）</w:t>
      </w:r>
    </w:p>
    <w:p>
      <w:pPr>
        <w:pStyle w:val="19"/>
        <w:spacing w:after="0" w:line="240" w:lineRule="auto"/>
        <w:ind w:firstLine="280" w:firstLineChars="100"/>
        <w:rPr>
          <w:rFonts w:ascii="宋体" w:hAnsi="宋体" w:cs="Times New Roman"/>
          <w:color w:val="auto"/>
          <w:kern w:val="2"/>
          <w:sz w:val="28"/>
          <w:szCs w:val="28"/>
          <w:highlight w:val="none"/>
        </w:rPr>
      </w:pPr>
      <w:r>
        <w:rPr>
          <w:rFonts w:hint="eastAsia" w:ascii="宋体" w:hAnsi="宋体" w:cs="Times New Roman"/>
          <w:color w:val="auto"/>
          <w:kern w:val="2"/>
          <w:sz w:val="28"/>
          <w:szCs w:val="28"/>
          <w:highlight w:val="none"/>
        </w:rPr>
        <w:t xml:space="preserve">报价评分标准：报价分（75分） </w:t>
      </w:r>
    </w:p>
    <w:p>
      <w:pPr>
        <w:pStyle w:val="19"/>
        <w:spacing w:after="0" w:line="240" w:lineRule="auto"/>
        <w:ind w:firstLine="280" w:firstLineChars="100"/>
        <w:rPr>
          <w:rFonts w:ascii="宋体" w:hAnsi="宋体" w:cs="Times New Roman"/>
          <w:color w:val="auto"/>
          <w:kern w:val="2"/>
          <w:sz w:val="28"/>
          <w:szCs w:val="28"/>
          <w:highlight w:val="none"/>
        </w:rPr>
      </w:pPr>
      <w:r>
        <w:rPr>
          <w:rFonts w:hint="eastAsia" w:ascii="宋体" w:hAnsi="宋体" w:cs="Times New Roman"/>
          <w:color w:val="auto"/>
          <w:kern w:val="2"/>
          <w:sz w:val="28"/>
          <w:szCs w:val="28"/>
          <w:highlight w:val="none"/>
        </w:rPr>
        <w:t>报价分75分=预算审核报价分（25分）+预算编制报价分（25分） +结算审核报价分（25分）。报价分采用低价优先法计算，取所有有效投标人中，投标价格最低（即下浮率最大）的投标报价作为评标基准价，其他投标人的价格分按照下列公式计算：</w:t>
      </w:r>
    </w:p>
    <w:p>
      <w:pPr>
        <w:pStyle w:val="19"/>
        <w:spacing w:after="0" w:line="240" w:lineRule="auto"/>
        <w:ind w:firstLine="280" w:firstLineChars="100"/>
        <w:rPr>
          <w:rFonts w:ascii="宋体" w:hAnsi="宋体"/>
          <w:color w:val="auto"/>
          <w:sz w:val="28"/>
          <w:szCs w:val="28"/>
          <w:highlight w:val="none"/>
        </w:rPr>
      </w:pPr>
      <w:r>
        <w:rPr>
          <w:rFonts w:hint="eastAsia" w:ascii="宋体" w:hAnsi="宋体" w:cs="Times New Roman"/>
          <w:color w:val="auto"/>
          <w:kern w:val="2"/>
          <w:sz w:val="28"/>
          <w:szCs w:val="28"/>
          <w:highlight w:val="none"/>
        </w:rPr>
        <w:t>预算审核报价分、预算编制报价分、结算审核报价分：评标基准价/投标报价×25分</w:t>
      </w:r>
      <w:r>
        <w:rPr>
          <w:rFonts w:hint="eastAsia" w:ascii="宋体" w:hAnsi="宋体"/>
          <w:color w:val="auto"/>
          <w:sz w:val="28"/>
          <w:szCs w:val="28"/>
          <w:highlight w:val="none"/>
        </w:rPr>
        <w:t>；</w:t>
      </w:r>
    </w:p>
    <w:p>
      <w:pPr>
        <w:spacing w:line="400" w:lineRule="atLeast"/>
        <w:rPr>
          <w:rFonts w:ascii="宋体" w:hAnsi="宋体"/>
          <w:b/>
          <w:color w:val="auto"/>
          <w:sz w:val="28"/>
          <w:szCs w:val="28"/>
          <w:highlight w:val="none"/>
        </w:rPr>
      </w:pPr>
      <w:r>
        <w:rPr>
          <w:rFonts w:hint="eastAsia" w:ascii="宋体" w:hAnsi="宋体"/>
          <w:b/>
          <w:color w:val="auto"/>
          <w:sz w:val="28"/>
          <w:szCs w:val="28"/>
          <w:highlight w:val="none"/>
        </w:rPr>
        <w:t>（二）评审标准</w:t>
      </w:r>
    </w:p>
    <w:p>
      <w:pPr>
        <w:spacing w:line="400" w:lineRule="atLeast"/>
        <w:ind w:firstLine="275" w:firstLineChars="98"/>
        <w:rPr>
          <w:rFonts w:ascii="宋体" w:hAnsi="宋体"/>
          <w:b/>
          <w:color w:val="auto"/>
          <w:sz w:val="28"/>
          <w:szCs w:val="28"/>
          <w:highlight w:val="none"/>
        </w:rPr>
      </w:pPr>
      <w:r>
        <w:rPr>
          <w:rFonts w:hint="eastAsia" w:ascii="宋体" w:hAnsi="宋体"/>
          <w:b/>
          <w:color w:val="auto"/>
          <w:sz w:val="28"/>
          <w:szCs w:val="28"/>
          <w:highlight w:val="none"/>
        </w:rPr>
        <w:t>2．1形式评审和响应性评审标准</w:t>
      </w:r>
    </w:p>
    <w:p>
      <w:pPr>
        <w:spacing w:line="400" w:lineRule="atLeast"/>
        <w:ind w:firstLine="280" w:firstLineChars="100"/>
        <w:rPr>
          <w:rFonts w:ascii="宋体" w:hAnsi="宋体"/>
          <w:color w:val="auto"/>
          <w:sz w:val="28"/>
          <w:szCs w:val="28"/>
          <w:highlight w:val="none"/>
        </w:rPr>
      </w:pPr>
      <w:r>
        <w:rPr>
          <w:rFonts w:hint="eastAsia" w:ascii="宋体" w:hAnsi="宋体"/>
          <w:color w:val="auto"/>
          <w:sz w:val="28"/>
          <w:szCs w:val="28"/>
          <w:highlight w:val="none"/>
        </w:rPr>
        <w:t>评标小组在形式评审和响应性时，发现投标文件有下列情形之一的，经现场监督人员确认后作废标处理：</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（1）投标文件未密封的；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（2）提交的投标文件正、副本份数不符合本招标文件规定的要求；</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（3）投标书内容不全或自相矛盾的；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（4）投标书超越期限送达的；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（5）投标人提交的投标文件没有使用或只有部分使用本招标文件所提供的投标文件格式、内容及要求填写的；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（6）本招标文件明确规定的投标文件需要投标人签字、盖章的地方，投标人没有按招标文件的规定进行签字、盖章的；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（7）投标人名称或组织结构与营业执照、资质证书不一致的；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（8）投标文件提交的本企业的法定代表人授权委托书无效；或委托代理人无本企业的法定代表人授权委托书；</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（9）未提供资格后审所需资料原件或所提供资料原件不全的；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（10）弄虚作假虚报业绩，或提供虚假材料的；</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（11）编审时限及编审结果误差率未按招标文件要求作出承诺或者所作承诺不符合要求；</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（12）预算编制和结算审核报价和招标代理服务收费报价中有一项或一项以上不在规定报价范围内。</w:t>
      </w:r>
    </w:p>
    <w:p>
      <w:pPr>
        <w:spacing w:line="400" w:lineRule="atLeast"/>
        <w:ind w:firstLine="138" w:firstLineChars="49"/>
        <w:rPr>
          <w:rFonts w:ascii="宋体" w:hAnsi="宋体"/>
          <w:b/>
          <w:color w:val="auto"/>
          <w:sz w:val="28"/>
          <w:szCs w:val="28"/>
          <w:highlight w:val="none"/>
        </w:rPr>
      </w:pPr>
      <w:r>
        <w:rPr>
          <w:rFonts w:hint="eastAsia" w:ascii="宋体" w:hAnsi="宋体"/>
          <w:b/>
          <w:color w:val="auto"/>
          <w:sz w:val="28"/>
          <w:szCs w:val="28"/>
          <w:highlight w:val="none"/>
        </w:rPr>
        <w:t>2.2资格评审标准</w:t>
      </w:r>
    </w:p>
    <w:p>
      <w:pPr>
        <w:spacing w:line="400" w:lineRule="atLeast"/>
        <w:ind w:firstLine="140" w:firstLineChars="50"/>
        <w:rPr>
          <w:rFonts w:ascii="宋体" w:hAnsi="宋体"/>
          <w:color w:val="auto"/>
          <w:sz w:val="28"/>
          <w:szCs w:val="28"/>
          <w:highlight w:val="none"/>
        </w:rPr>
      </w:pPr>
      <w:r>
        <w:rPr>
          <w:rFonts w:hint="eastAsia" w:ascii="宋体" w:hAnsi="宋体"/>
          <w:color w:val="auto"/>
          <w:sz w:val="28"/>
          <w:szCs w:val="28"/>
          <w:highlight w:val="none"/>
        </w:rPr>
        <w:t>评标小组在资格评审时，发现投标文件有下列情形之一的，经现场监督人员确认后作废标处理：</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（1）投标人的营业执照无效或已经过期；</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（2）投标人的资质、资格条件不符合招标公告第</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条要求；</w:t>
      </w:r>
    </w:p>
    <w:p>
      <w:pPr>
        <w:spacing w:line="400" w:lineRule="atLeast"/>
        <w:rPr>
          <w:rFonts w:ascii="宋体" w:hAnsi="宋体"/>
          <w:color w:val="auto"/>
          <w:sz w:val="28"/>
          <w:szCs w:val="28"/>
          <w:highlight w:val="none"/>
        </w:rPr>
      </w:pPr>
      <w:r>
        <w:rPr>
          <w:rFonts w:hint="eastAsia" w:ascii="宋体" w:hAnsi="宋体"/>
          <w:color w:val="auto"/>
          <w:sz w:val="28"/>
          <w:szCs w:val="28"/>
          <w:highlight w:val="none"/>
        </w:rPr>
        <w:t>（3）拟参加审核人员不是单位正式员工，未提供社保证明的；</w:t>
      </w:r>
    </w:p>
    <w:p>
      <w:pPr>
        <w:spacing w:line="400" w:lineRule="atLeast"/>
        <w:rPr>
          <w:rFonts w:ascii="宋体" w:hAnsi="宋体"/>
          <w:color w:val="auto"/>
          <w:sz w:val="28"/>
          <w:szCs w:val="28"/>
          <w:highlight w:val="none"/>
        </w:rPr>
      </w:pPr>
      <w:r>
        <w:rPr>
          <w:rFonts w:hint="eastAsia" w:ascii="宋体" w:hAnsi="宋体"/>
          <w:b/>
          <w:color w:val="auto"/>
          <w:sz w:val="28"/>
          <w:szCs w:val="28"/>
          <w:highlight w:val="none"/>
        </w:rPr>
        <w:t>（三）评审程序、办法及细则</w:t>
      </w:r>
    </w:p>
    <w:p>
      <w:pPr>
        <w:spacing w:line="400" w:lineRule="atLeast"/>
        <w:rPr>
          <w:rFonts w:ascii="宋体" w:hAnsi="宋体"/>
          <w:b/>
          <w:color w:val="auto"/>
          <w:sz w:val="28"/>
          <w:szCs w:val="28"/>
          <w:highlight w:val="none"/>
        </w:rPr>
      </w:pPr>
      <w:r>
        <w:rPr>
          <w:rFonts w:hint="eastAsia" w:ascii="宋体" w:hAnsi="宋体"/>
          <w:b/>
          <w:color w:val="auto"/>
          <w:sz w:val="28"/>
          <w:szCs w:val="28"/>
          <w:highlight w:val="none"/>
        </w:rPr>
        <w:t>3.1</w:t>
      </w:r>
      <w:r>
        <w:rPr>
          <w:rFonts w:ascii="宋体" w:hAnsi="宋体"/>
          <w:b/>
          <w:color w:val="auto"/>
          <w:sz w:val="28"/>
          <w:szCs w:val="28"/>
          <w:highlight w:val="none"/>
        </w:rPr>
        <w:t>符合性评审</w:t>
      </w:r>
      <w:r>
        <w:rPr>
          <w:rFonts w:hint="eastAsia" w:ascii="宋体" w:hAnsi="宋体"/>
          <w:b/>
          <w:color w:val="auto"/>
          <w:sz w:val="28"/>
          <w:szCs w:val="28"/>
          <w:highlight w:val="none"/>
        </w:rPr>
        <w:t>：</w:t>
      </w:r>
      <w:r>
        <w:rPr>
          <w:rFonts w:hint="eastAsia" w:ascii="宋体" w:hAnsi="宋体"/>
          <w:color w:val="auto"/>
          <w:sz w:val="28"/>
          <w:szCs w:val="28"/>
          <w:highlight w:val="none"/>
        </w:rPr>
        <w:t>由评标小组对进入后续评审的投标人投标文件先进行符合性评审。符合性评审分为：1.形式评审和响应性评审（标准见本章第2.1条）；2.资格评审（标准见本章第2.2条）</w:t>
      </w:r>
    </w:p>
    <w:p>
      <w:pPr>
        <w:spacing w:line="400" w:lineRule="atLeast"/>
        <w:rPr>
          <w:rFonts w:ascii="宋体" w:hAnsi="宋体"/>
          <w:b/>
          <w:color w:val="auto"/>
          <w:sz w:val="28"/>
          <w:szCs w:val="28"/>
          <w:highlight w:val="none"/>
        </w:rPr>
      </w:pPr>
      <w:r>
        <w:rPr>
          <w:rFonts w:hint="eastAsia" w:ascii="宋体" w:hAnsi="宋体"/>
          <w:b/>
          <w:color w:val="auto"/>
          <w:sz w:val="28"/>
          <w:szCs w:val="28"/>
          <w:highlight w:val="none"/>
        </w:rPr>
        <w:t>3.2评标报告</w:t>
      </w:r>
    </w:p>
    <w:p>
      <w:pPr>
        <w:spacing w:line="400" w:lineRule="atLeast"/>
        <w:ind w:firstLine="140" w:firstLineChars="50"/>
        <w:rPr>
          <w:rFonts w:ascii="宋体" w:hAnsi="宋体"/>
          <w:color w:val="auto"/>
          <w:sz w:val="28"/>
          <w:szCs w:val="28"/>
          <w:highlight w:val="none"/>
        </w:rPr>
      </w:pPr>
      <w:r>
        <w:rPr>
          <w:rFonts w:hint="eastAsia" w:ascii="宋体" w:hAnsi="宋体"/>
          <w:color w:val="auto"/>
          <w:sz w:val="28"/>
          <w:szCs w:val="28"/>
          <w:highlight w:val="none"/>
        </w:rPr>
        <w:t>3.2.1投标文件的</w:t>
      </w:r>
      <w:r>
        <w:rPr>
          <w:rFonts w:ascii="宋体" w:hAnsi="宋体"/>
          <w:color w:val="auto"/>
          <w:sz w:val="28"/>
          <w:szCs w:val="28"/>
          <w:highlight w:val="none"/>
        </w:rPr>
        <w:t>最终得分</w:t>
      </w:r>
      <w:r>
        <w:rPr>
          <w:rFonts w:hint="eastAsia" w:ascii="宋体" w:hAnsi="宋体"/>
          <w:color w:val="auto"/>
          <w:sz w:val="28"/>
          <w:szCs w:val="28"/>
          <w:highlight w:val="none"/>
        </w:rPr>
        <w:t>即为商务+报价得分。</w:t>
      </w:r>
    </w:p>
    <w:p>
      <w:pPr>
        <w:spacing w:line="400" w:lineRule="atLeast"/>
        <w:ind w:firstLine="140" w:firstLineChars="50"/>
        <w:rPr>
          <w:rFonts w:ascii="宋体" w:hAnsi="宋体"/>
          <w:color w:val="auto"/>
          <w:sz w:val="28"/>
          <w:szCs w:val="28"/>
          <w:highlight w:val="none"/>
        </w:rPr>
      </w:pPr>
      <w:r>
        <w:rPr>
          <w:rFonts w:hint="eastAsia" w:ascii="宋体" w:hAnsi="宋体"/>
          <w:color w:val="auto"/>
          <w:sz w:val="28"/>
          <w:szCs w:val="28"/>
          <w:highlight w:val="none"/>
        </w:rPr>
        <w:t>3.2.2</w:t>
      </w:r>
      <w:r>
        <w:rPr>
          <w:rFonts w:ascii="宋体" w:hAnsi="宋体"/>
          <w:color w:val="auto"/>
          <w:sz w:val="28"/>
          <w:szCs w:val="28"/>
          <w:highlight w:val="none"/>
        </w:rPr>
        <w:t>评标</w:t>
      </w:r>
      <w:r>
        <w:rPr>
          <w:rFonts w:hint="eastAsia" w:ascii="宋体" w:hAnsi="宋体"/>
          <w:color w:val="auto"/>
          <w:sz w:val="28"/>
          <w:szCs w:val="28"/>
          <w:highlight w:val="none"/>
        </w:rPr>
        <w:t>小组</w:t>
      </w:r>
      <w:r>
        <w:rPr>
          <w:rFonts w:ascii="宋体" w:hAnsi="宋体"/>
          <w:color w:val="auto"/>
          <w:sz w:val="28"/>
          <w:szCs w:val="28"/>
          <w:highlight w:val="none"/>
        </w:rPr>
        <w:t>对投标文件按其最终得分由高到低</w:t>
      </w:r>
      <w:r>
        <w:rPr>
          <w:rFonts w:hint="eastAsia" w:ascii="宋体" w:hAnsi="宋体"/>
          <w:color w:val="auto"/>
          <w:sz w:val="28"/>
          <w:szCs w:val="28"/>
          <w:highlight w:val="none"/>
        </w:rPr>
        <w:t>对有效投标人</w:t>
      </w:r>
      <w:r>
        <w:rPr>
          <w:rFonts w:ascii="宋体" w:hAnsi="宋体"/>
          <w:color w:val="auto"/>
          <w:sz w:val="28"/>
          <w:szCs w:val="28"/>
          <w:highlight w:val="none"/>
        </w:rPr>
        <w:t>进行排序。</w:t>
      </w:r>
    </w:p>
    <w:p>
      <w:pPr>
        <w:spacing w:line="400" w:lineRule="atLeast"/>
        <w:ind w:firstLine="140" w:firstLineChars="50"/>
        <w:rPr>
          <w:rFonts w:ascii="宋体" w:hAnsi="宋体"/>
          <w:color w:val="auto"/>
          <w:sz w:val="28"/>
          <w:szCs w:val="28"/>
          <w:highlight w:val="none"/>
        </w:rPr>
      </w:pPr>
      <w:r>
        <w:rPr>
          <w:rFonts w:hint="eastAsia" w:ascii="宋体" w:hAnsi="宋体"/>
          <w:color w:val="auto"/>
          <w:sz w:val="28"/>
          <w:szCs w:val="28"/>
          <w:highlight w:val="none"/>
        </w:rPr>
        <w:t>3.2.3</w:t>
      </w:r>
      <w:r>
        <w:rPr>
          <w:rFonts w:ascii="宋体" w:hAnsi="宋体"/>
          <w:color w:val="auto"/>
          <w:sz w:val="28"/>
          <w:szCs w:val="28"/>
          <w:highlight w:val="none"/>
        </w:rPr>
        <w:t>评标</w:t>
      </w:r>
      <w:r>
        <w:rPr>
          <w:rFonts w:hint="eastAsia" w:ascii="宋体" w:hAnsi="宋体"/>
          <w:color w:val="auto"/>
          <w:sz w:val="28"/>
          <w:szCs w:val="28"/>
          <w:highlight w:val="none"/>
        </w:rPr>
        <w:t>小组</w:t>
      </w:r>
      <w:r>
        <w:rPr>
          <w:rFonts w:ascii="宋体" w:hAnsi="宋体"/>
          <w:color w:val="auto"/>
          <w:sz w:val="28"/>
          <w:szCs w:val="28"/>
          <w:highlight w:val="none"/>
        </w:rPr>
        <w:t>应根据评标情况和结果，向招标</w:t>
      </w:r>
      <w:r>
        <w:rPr>
          <w:rFonts w:hint="eastAsia" w:ascii="宋体" w:hAnsi="宋体"/>
          <w:color w:val="auto"/>
          <w:sz w:val="28"/>
          <w:szCs w:val="28"/>
          <w:highlight w:val="none"/>
        </w:rPr>
        <w:t>人</w:t>
      </w:r>
      <w:r>
        <w:rPr>
          <w:rFonts w:ascii="宋体" w:hAnsi="宋体"/>
          <w:color w:val="auto"/>
          <w:sz w:val="28"/>
          <w:szCs w:val="28"/>
          <w:highlight w:val="none"/>
        </w:rPr>
        <w:t>提交评标报告</w:t>
      </w:r>
      <w:r>
        <w:rPr>
          <w:rFonts w:hint="eastAsia" w:ascii="宋体" w:hAnsi="宋体"/>
          <w:color w:val="auto"/>
          <w:sz w:val="28"/>
          <w:szCs w:val="28"/>
          <w:highlight w:val="none"/>
        </w:rPr>
        <w:t>；</w:t>
      </w:r>
      <w:r>
        <w:rPr>
          <w:rFonts w:ascii="宋体" w:hAnsi="宋体"/>
          <w:color w:val="auto"/>
          <w:sz w:val="28"/>
          <w:szCs w:val="28"/>
          <w:highlight w:val="none"/>
        </w:rPr>
        <w:t>评标报告由评标</w:t>
      </w:r>
      <w:r>
        <w:rPr>
          <w:rFonts w:hint="eastAsia" w:ascii="宋体" w:hAnsi="宋体"/>
          <w:color w:val="auto"/>
          <w:sz w:val="28"/>
          <w:szCs w:val="28"/>
          <w:highlight w:val="none"/>
        </w:rPr>
        <w:t>小组</w:t>
      </w:r>
      <w:r>
        <w:rPr>
          <w:rFonts w:ascii="宋体" w:hAnsi="宋体"/>
          <w:color w:val="auto"/>
          <w:sz w:val="28"/>
          <w:szCs w:val="28"/>
          <w:highlight w:val="none"/>
        </w:rPr>
        <w:t>成员起草，按少数服从多数的原则通过</w:t>
      </w:r>
      <w:r>
        <w:rPr>
          <w:rFonts w:hint="eastAsia" w:ascii="宋体" w:hAnsi="宋体"/>
          <w:color w:val="auto"/>
          <w:sz w:val="28"/>
          <w:szCs w:val="28"/>
          <w:highlight w:val="none"/>
        </w:rPr>
        <w:t>；</w:t>
      </w:r>
      <w:r>
        <w:rPr>
          <w:rFonts w:ascii="宋体" w:hAnsi="宋体"/>
          <w:color w:val="auto"/>
          <w:sz w:val="28"/>
          <w:szCs w:val="28"/>
          <w:highlight w:val="none"/>
        </w:rPr>
        <w:t>评标</w:t>
      </w:r>
      <w:r>
        <w:rPr>
          <w:rFonts w:hint="eastAsia" w:ascii="宋体" w:hAnsi="宋体"/>
          <w:color w:val="auto"/>
          <w:sz w:val="28"/>
          <w:szCs w:val="28"/>
          <w:highlight w:val="none"/>
        </w:rPr>
        <w:t>小组</w:t>
      </w:r>
      <w:r>
        <w:rPr>
          <w:rFonts w:ascii="宋体" w:hAnsi="宋体"/>
          <w:color w:val="auto"/>
          <w:sz w:val="28"/>
          <w:szCs w:val="28"/>
          <w:highlight w:val="none"/>
        </w:rPr>
        <w:t>全体成员应在评标报告上签字确认</w:t>
      </w:r>
      <w:r>
        <w:rPr>
          <w:rFonts w:hint="eastAsia" w:ascii="宋体" w:hAnsi="宋体"/>
          <w:color w:val="auto"/>
          <w:sz w:val="28"/>
          <w:szCs w:val="28"/>
          <w:highlight w:val="none"/>
        </w:rPr>
        <w:t>；</w:t>
      </w:r>
      <w:r>
        <w:rPr>
          <w:rFonts w:ascii="宋体" w:hAnsi="宋体"/>
          <w:color w:val="auto"/>
          <w:sz w:val="28"/>
          <w:szCs w:val="28"/>
          <w:highlight w:val="none"/>
        </w:rPr>
        <w:t>评标专家如有保留意见可以在评标报告中阐明。</w:t>
      </w:r>
    </w:p>
    <w:p>
      <w:pPr>
        <w:spacing w:line="400" w:lineRule="atLeast"/>
        <w:rPr>
          <w:rFonts w:ascii="宋体" w:hAnsi="宋体"/>
          <w:color w:val="auto"/>
          <w:sz w:val="28"/>
          <w:szCs w:val="28"/>
          <w:highlight w:val="none"/>
        </w:rPr>
      </w:pPr>
      <w:r>
        <w:rPr>
          <w:rFonts w:hint="eastAsia" w:ascii="宋体" w:hAnsi="宋体"/>
          <w:b/>
          <w:color w:val="auto"/>
          <w:sz w:val="28"/>
          <w:szCs w:val="28"/>
          <w:highlight w:val="none"/>
        </w:rPr>
        <w:t>3.3推荐中标候选人：</w:t>
      </w:r>
      <w:r>
        <w:rPr>
          <w:rFonts w:hint="eastAsia" w:ascii="宋体" w:hAnsi="宋体"/>
          <w:color w:val="auto"/>
          <w:sz w:val="28"/>
          <w:szCs w:val="28"/>
          <w:highlight w:val="none"/>
        </w:rPr>
        <w:t>通过评审的投标单位超过4家时，由业主单位根据综合得分排名及评标报告的推荐意见确定中标单位4家；如通过评审的投标单位为</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-4家时，则全部入围中标；如通过评审的投标单位</w:t>
      </w:r>
      <w:r>
        <w:rPr>
          <w:rFonts w:hint="eastAsia" w:ascii="宋体" w:hAnsi="宋体"/>
          <w:color w:val="auto"/>
          <w:sz w:val="28"/>
          <w:szCs w:val="28"/>
          <w:highlight w:val="none"/>
          <w:lang w:val="en-US" w:eastAsia="zh-CN"/>
        </w:rPr>
        <w:t>0-2</w:t>
      </w:r>
      <w:r>
        <w:rPr>
          <w:rFonts w:hint="eastAsia" w:ascii="宋体" w:hAnsi="宋体"/>
          <w:color w:val="auto"/>
          <w:sz w:val="28"/>
          <w:szCs w:val="28"/>
          <w:highlight w:val="none"/>
        </w:rPr>
        <w:t>家时，重新进行招标</w:t>
      </w:r>
      <w:r>
        <w:rPr>
          <w:rFonts w:ascii="宋体" w:hAnsi="宋体"/>
          <w:color w:val="auto"/>
          <w:sz w:val="28"/>
          <w:szCs w:val="28"/>
          <w:highlight w:val="none"/>
        </w:rPr>
        <w:t>。</w:t>
      </w:r>
    </w:p>
    <w:p>
      <w:pPr>
        <w:pStyle w:val="19"/>
        <w:rPr>
          <w:rFonts w:hint="eastAsia"/>
          <w:color w:val="auto"/>
          <w:highlight w:val="none"/>
        </w:rPr>
      </w:pPr>
    </w:p>
    <w:p>
      <w:pPr>
        <w:spacing w:line="520" w:lineRule="atLeast"/>
        <w:jc w:val="center"/>
        <w:rPr>
          <w:b/>
          <w:color w:val="auto"/>
          <w:sz w:val="28"/>
          <w:szCs w:val="28"/>
          <w:highlight w:val="none"/>
        </w:rPr>
      </w:pPr>
    </w:p>
    <w:p>
      <w:pPr>
        <w:pStyle w:val="19"/>
        <w:ind w:firstLine="0"/>
        <w:rPr>
          <w:rFonts w:hint="eastAsia"/>
          <w:color w:val="auto"/>
          <w:highlight w:val="none"/>
        </w:rPr>
      </w:pPr>
    </w:p>
    <w:p>
      <w:pPr>
        <w:spacing w:line="520" w:lineRule="atLeast"/>
        <w:jc w:val="center"/>
        <w:rPr>
          <w:b/>
          <w:color w:val="auto"/>
          <w:sz w:val="28"/>
          <w:szCs w:val="28"/>
          <w:highlight w:val="none"/>
        </w:rPr>
      </w:pPr>
      <w:r>
        <w:rPr>
          <w:rFonts w:hint="eastAsia"/>
          <w:b/>
          <w:color w:val="auto"/>
          <w:sz w:val="28"/>
          <w:szCs w:val="28"/>
          <w:highlight w:val="none"/>
        </w:rPr>
        <w:t>第四章  投标文件格式</w:t>
      </w:r>
    </w:p>
    <w:p>
      <w:pPr>
        <w:spacing w:line="360" w:lineRule="auto"/>
        <w:ind w:firstLine="705"/>
        <w:jc w:val="left"/>
        <w:rPr>
          <w:rFonts w:ascii="宋体" w:hAnsi="宋体"/>
          <w:b/>
          <w:bCs/>
          <w:color w:val="auto"/>
          <w:sz w:val="28"/>
          <w:szCs w:val="28"/>
          <w:highlight w:val="none"/>
        </w:rPr>
      </w:pPr>
      <w:r>
        <w:rPr>
          <w:rFonts w:hint="eastAsia" w:ascii="宋体" w:hAnsi="宋体"/>
          <w:bCs/>
          <w:color w:val="auto"/>
          <w:sz w:val="28"/>
          <w:szCs w:val="28"/>
          <w:highlight w:val="none"/>
        </w:rPr>
        <w:t>表一</w:t>
      </w:r>
    </w:p>
    <w:p>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投  标  书</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致：浙江广厦建设职业技术大学</w:t>
      </w:r>
    </w:p>
    <w:p>
      <w:pPr>
        <w:pStyle w:val="6"/>
        <w:autoSpaceDE w:val="0"/>
        <w:autoSpaceDN w:val="0"/>
        <w:adjustRightInd w:val="0"/>
        <w:spacing w:line="0" w:lineRule="atLeast"/>
        <w:textAlignment w:val="baseline"/>
        <w:rPr>
          <w:rFonts w:ascii="宋体" w:hAnsi="宋体"/>
          <w:color w:val="auto"/>
          <w:sz w:val="28"/>
          <w:szCs w:val="28"/>
          <w:highlight w:val="none"/>
        </w:rPr>
      </w:pPr>
      <w:r>
        <w:rPr>
          <w:rFonts w:hint="eastAsia" w:ascii="宋体" w:hAnsi="宋体"/>
          <w:color w:val="auto"/>
          <w:sz w:val="28"/>
          <w:szCs w:val="28"/>
          <w:highlight w:val="none"/>
        </w:rPr>
        <w:t>根据贵方</w:t>
      </w:r>
      <w:r>
        <w:rPr>
          <w:rFonts w:hint="eastAsia"/>
          <w:b/>
          <w:color w:val="auto"/>
          <w:sz w:val="28"/>
          <w:szCs w:val="28"/>
          <w:highlight w:val="none"/>
          <w:u w:val="single"/>
        </w:rPr>
        <w:t>工程造价咨询企业资格采购</w:t>
      </w:r>
      <w:r>
        <w:rPr>
          <w:rFonts w:hint="eastAsia" w:ascii="宋体" w:hAnsi="宋体"/>
          <w:color w:val="auto"/>
          <w:sz w:val="28"/>
          <w:szCs w:val="28"/>
          <w:highlight w:val="none"/>
        </w:rPr>
        <w:t>项目的招标，签字代表</w:t>
      </w:r>
      <w:r>
        <w:rPr>
          <w:rFonts w:hint="eastAsia" w:ascii="宋体" w:hAnsi="宋体"/>
          <w:color w:val="auto"/>
          <w:sz w:val="28"/>
          <w:szCs w:val="28"/>
          <w:highlight w:val="none"/>
          <w:u w:val="single"/>
        </w:rPr>
        <w:t xml:space="preserve">      ___________</w:t>
      </w:r>
      <w:r>
        <w:rPr>
          <w:rFonts w:hint="eastAsia" w:ascii="宋体" w:hAnsi="宋体"/>
          <w:color w:val="auto"/>
          <w:sz w:val="28"/>
          <w:szCs w:val="28"/>
          <w:highlight w:val="none"/>
        </w:rPr>
        <w:t>（姓名、职务）经正式授权并代表</w:t>
      </w:r>
      <w:r>
        <w:rPr>
          <w:rFonts w:hint="eastAsia" w:ascii="宋体" w:hAnsi="宋体"/>
          <w:color w:val="auto"/>
          <w:sz w:val="28"/>
          <w:szCs w:val="28"/>
          <w:highlight w:val="none"/>
          <w:u w:val="single"/>
        </w:rPr>
        <w:t xml:space="preserve">                  ________________________</w:t>
      </w:r>
      <w:r>
        <w:rPr>
          <w:rFonts w:hint="eastAsia" w:ascii="宋体" w:hAnsi="宋体"/>
          <w:color w:val="auto"/>
          <w:sz w:val="28"/>
          <w:szCs w:val="28"/>
          <w:highlight w:val="none"/>
        </w:rPr>
        <w:t>（投标方名称、地址）。</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（1）开标一览表   （2）预结算编审服务承诺书</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据此函，签字代表宣布同意如下：</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1、投标方将按照招标文件的所有要求，提供优质的服务，明细见《开标一览表》。</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2、投标方已详细审查全部招标文件，我们完全理解并同意放弃对这方面有不明及误解的权利。</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3、投标方将按招标文件规定履行合同责任和义务。</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4、其投标书自开标之日起有效期为30个工作日。</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5、如果在规定的开标时间后，投标方在投标有效期内撤回投标，或中标后放弃中标，拒签协议的，报上级主管部门并承担相应法律责任。</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6、投标方同意提供按照贵方可能要求的与其投标有关的一切数据或资料。</w:t>
      </w:r>
    </w:p>
    <w:p>
      <w:pPr>
        <w:spacing w:line="360" w:lineRule="auto"/>
        <w:ind w:firstLine="570"/>
        <w:rPr>
          <w:rFonts w:ascii="宋体" w:hAnsi="宋体"/>
          <w:color w:val="auto"/>
          <w:sz w:val="28"/>
          <w:szCs w:val="28"/>
          <w:highlight w:val="none"/>
        </w:rPr>
      </w:pPr>
      <w:r>
        <w:rPr>
          <w:rFonts w:hint="eastAsia" w:ascii="宋体" w:hAnsi="宋体"/>
          <w:color w:val="auto"/>
          <w:sz w:val="28"/>
          <w:szCs w:val="28"/>
          <w:highlight w:val="none"/>
        </w:rPr>
        <w:t>7、与本投标有关的一切正式往来通讯请寄：</w:t>
      </w:r>
    </w:p>
    <w:p>
      <w:pPr>
        <w:spacing w:line="360" w:lineRule="auto"/>
        <w:ind w:firstLine="570"/>
        <w:rPr>
          <w:rFonts w:ascii="宋体" w:hAnsi="宋体"/>
          <w:color w:val="auto"/>
          <w:sz w:val="28"/>
          <w:szCs w:val="28"/>
          <w:highlight w:val="none"/>
        </w:rPr>
      </w:pPr>
      <w:r>
        <w:rPr>
          <w:rFonts w:hint="eastAsia" w:ascii="宋体" w:hAnsi="宋体"/>
          <w:color w:val="auto"/>
          <w:sz w:val="28"/>
          <w:szCs w:val="28"/>
          <w:highlight w:val="none"/>
        </w:rPr>
        <w:t xml:space="preserve">   地址：   邮编：</w:t>
      </w:r>
    </w:p>
    <w:p>
      <w:pPr>
        <w:spacing w:line="360" w:lineRule="auto"/>
        <w:ind w:firstLine="570"/>
        <w:rPr>
          <w:rFonts w:ascii="宋体" w:hAnsi="宋体"/>
          <w:color w:val="auto"/>
          <w:sz w:val="28"/>
          <w:szCs w:val="28"/>
          <w:highlight w:val="none"/>
          <w:u w:val="single"/>
        </w:rPr>
      </w:pPr>
      <w:r>
        <w:rPr>
          <w:rFonts w:hint="eastAsia" w:ascii="宋体" w:hAnsi="宋体"/>
          <w:color w:val="auto"/>
          <w:sz w:val="28"/>
          <w:szCs w:val="28"/>
          <w:highlight w:val="none"/>
        </w:rPr>
        <w:t xml:space="preserve">   电话：   传真：</w:t>
      </w:r>
    </w:p>
    <w:p>
      <w:pPr>
        <w:spacing w:line="360" w:lineRule="auto"/>
        <w:ind w:firstLine="570"/>
        <w:rPr>
          <w:rFonts w:ascii="宋体" w:hAnsi="宋体"/>
          <w:color w:val="auto"/>
          <w:sz w:val="28"/>
          <w:szCs w:val="28"/>
          <w:highlight w:val="none"/>
        </w:rPr>
      </w:pPr>
      <w:r>
        <w:rPr>
          <w:rFonts w:hint="eastAsia" w:ascii="宋体" w:hAnsi="宋体"/>
          <w:color w:val="auto"/>
          <w:sz w:val="28"/>
          <w:szCs w:val="28"/>
          <w:highlight w:val="none"/>
        </w:rPr>
        <w:t xml:space="preserve">   投标方名称：（公章）</w:t>
      </w:r>
    </w:p>
    <w:p>
      <w:pPr>
        <w:spacing w:line="360" w:lineRule="auto"/>
        <w:ind w:firstLine="570"/>
        <w:rPr>
          <w:rFonts w:ascii="宋体" w:hAnsi="宋体"/>
          <w:color w:val="auto"/>
          <w:sz w:val="28"/>
          <w:szCs w:val="28"/>
          <w:highlight w:val="none"/>
          <w:u w:val="single"/>
        </w:rPr>
      </w:pPr>
      <w:r>
        <w:rPr>
          <w:rFonts w:hint="eastAsia" w:ascii="宋体" w:hAnsi="宋体"/>
          <w:color w:val="auto"/>
          <w:sz w:val="28"/>
          <w:szCs w:val="28"/>
          <w:highlight w:val="none"/>
        </w:rPr>
        <w:t xml:space="preserve">   投标方代表姓名、职务：</w:t>
      </w:r>
    </w:p>
    <w:p>
      <w:pPr>
        <w:spacing w:line="360" w:lineRule="auto"/>
        <w:ind w:firstLine="570"/>
        <w:rPr>
          <w:rFonts w:ascii="宋体" w:hAnsi="宋体"/>
          <w:bCs/>
          <w:color w:val="auto"/>
          <w:sz w:val="28"/>
          <w:szCs w:val="28"/>
          <w:highlight w:val="none"/>
        </w:rPr>
      </w:pPr>
      <w:r>
        <w:rPr>
          <w:rFonts w:hint="eastAsia" w:ascii="宋体" w:hAnsi="宋体"/>
          <w:color w:val="auto"/>
          <w:sz w:val="28"/>
          <w:szCs w:val="28"/>
          <w:highlight w:val="none"/>
        </w:rPr>
        <w:t xml:space="preserve">   投标日期：年月日   全权代表签字：</w:t>
      </w:r>
    </w:p>
    <w:p>
      <w:pPr>
        <w:spacing w:line="360" w:lineRule="auto"/>
        <w:ind w:right="600" w:firstLine="705"/>
        <w:jc w:val="left"/>
        <w:rPr>
          <w:rFonts w:ascii="宋体" w:hAnsi="宋体"/>
          <w:bCs/>
          <w:color w:val="auto"/>
          <w:sz w:val="28"/>
          <w:szCs w:val="28"/>
          <w:highlight w:val="none"/>
        </w:rPr>
      </w:pPr>
    </w:p>
    <w:p>
      <w:pPr>
        <w:pStyle w:val="4"/>
        <w:rPr>
          <w:rFonts w:ascii="宋体" w:hAnsi="宋体"/>
          <w:bCs/>
          <w:color w:val="auto"/>
          <w:sz w:val="28"/>
          <w:szCs w:val="28"/>
          <w:highlight w:val="none"/>
        </w:rPr>
      </w:pPr>
    </w:p>
    <w:p>
      <w:pPr>
        <w:pStyle w:val="5"/>
        <w:rPr>
          <w:color w:val="auto"/>
          <w:highlight w:val="none"/>
        </w:rPr>
      </w:pPr>
    </w:p>
    <w:p>
      <w:pPr>
        <w:spacing w:line="360" w:lineRule="auto"/>
        <w:ind w:right="600" w:firstLine="705"/>
        <w:jc w:val="left"/>
        <w:rPr>
          <w:rFonts w:ascii="宋体" w:hAnsi="宋体"/>
          <w:b/>
          <w:bCs/>
          <w:color w:val="auto"/>
          <w:sz w:val="28"/>
          <w:szCs w:val="28"/>
          <w:highlight w:val="none"/>
        </w:rPr>
      </w:pPr>
      <w:r>
        <w:rPr>
          <w:rFonts w:hint="eastAsia" w:ascii="宋体" w:hAnsi="宋体"/>
          <w:bCs/>
          <w:color w:val="auto"/>
          <w:sz w:val="28"/>
          <w:szCs w:val="28"/>
          <w:highlight w:val="none"/>
        </w:rPr>
        <w:t>表二</w:t>
      </w:r>
    </w:p>
    <w:p>
      <w:pPr>
        <w:jc w:val="center"/>
        <w:rPr>
          <w:color w:val="auto"/>
          <w:sz w:val="28"/>
          <w:szCs w:val="28"/>
          <w:highlight w:val="none"/>
        </w:rPr>
      </w:pPr>
      <w:r>
        <w:rPr>
          <w:rFonts w:hint="eastAsia" w:ascii="宋体" w:hAnsi="宋体"/>
          <w:b/>
          <w:color w:val="auto"/>
          <w:sz w:val="28"/>
          <w:szCs w:val="28"/>
          <w:highlight w:val="none"/>
        </w:rPr>
        <w:t>开标一览</w:t>
      </w:r>
      <w:r>
        <w:rPr>
          <w:rFonts w:ascii="宋体" w:hAnsi="宋体"/>
          <w:b/>
          <w:color w:val="auto"/>
          <w:sz w:val="28"/>
          <w:szCs w:val="28"/>
          <w:highlight w:val="none"/>
        </w:rPr>
        <w:t>表</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u w:val="single"/>
        </w:rPr>
      </w:pPr>
      <w:r>
        <w:rPr>
          <w:rFonts w:hint="eastAsia" w:ascii="宋体" w:hAnsi="宋体"/>
          <w:color w:val="auto"/>
          <w:sz w:val="28"/>
          <w:szCs w:val="28"/>
          <w:highlight w:val="none"/>
        </w:rPr>
        <w:t>投标方名称（盖章）：</w:t>
      </w:r>
    </w:p>
    <w:tbl>
      <w:tblPr>
        <w:tblStyle w:val="15"/>
        <w:tblpPr w:leftFromText="180" w:rightFromText="180" w:vertAnchor="text" w:horzAnchor="margin" w:tblpXSpec="center" w:tblpY="4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8"/>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6048" w:type="dxa"/>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项  目  名  称</w:t>
            </w:r>
          </w:p>
        </w:tc>
        <w:tc>
          <w:tcPr>
            <w:tcW w:w="2474" w:type="dxa"/>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报 价（下浮率）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048" w:type="dxa"/>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预算审核</w:t>
            </w:r>
          </w:p>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（按浙价服[2009]84号文件规定的基准收费标准下浮40%-50%之间,</w:t>
            </w:r>
            <w:r>
              <w:rPr>
                <w:rFonts w:hint="eastAsia" w:ascii="宋体" w:hAnsi="宋体"/>
                <w:color w:val="auto"/>
                <w:sz w:val="28"/>
                <w:szCs w:val="28"/>
                <w:highlight w:val="none"/>
                <w:lang w:eastAsia="zh-CN"/>
              </w:rPr>
              <w:t>最多</w:t>
            </w:r>
            <w:r>
              <w:rPr>
                <w:rFonts w:hint="eastAsia" w:ascii="宋体" w:hAnsi="宋体"/>
                <w:color w:val="auto"/>
                <w:sz w:val="28"/>
                <w:szCs w:val="28"/>
                <w:highlight w:val="none"/>
              </w:rPr>
              <w:t>保留一位小数）</w:t>
            </w:r>
          </w:p>
        </w:tc>
        <w:tc>
          <w:tcPr>
            <w:tcW w:w="2474" w:type="dxa"/>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0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预算编制</w:t>
            </w:r>
          </w:p>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（按浙价服[2009]84号文件规定的基准收费标准下浮20%—30%之间,</w:t>
            </w:r>
            <w:r>
              <w:rPr>
                <w:rFonts w:hint="eastAsia" w:ascii="宋体" w:hAnsi="宋体"/>
                <w:color w:val="auto"/>
                <w:sz w:val="28"/>
                <w:szCs w:val="28"/>
                <w:highlight w:val="none"/>
                <w:lang w:eastAsia="zh-CN"/>
              </w:rPr>
              <w:t>最多</w:t>
            </w:r>
            <w:r>
              <w:rPr>
                <w:rFonts w:hint="eastAsia" w:ascii="宋体" w:hAnsi="宋体"/>
                <w:color w:val="auto"/>
                <w:sz w:val="28"/>
                <w:szCs w:val="28"/>
                <w:highlight w:val="none"/>
              </w:rPr>
              <w:t>保留一位小数）</w:t>
            </w:r>
          </w:p>
        </w:tc>
        <w:tc>
          <w:tcPr>
            <w:tcW w:w="2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0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结算审核</w:t>
            </w:r>
          </w:p>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（按浙价服[2009]84号文件规定的基准收费标准下浮20%—30%之间,</w:t>
            </w:r>
            <w:r>
              <w:rPr>
                <w:rFonts w:hint="eastAsia" w:ascii="宋体" w:hAnsi="宋体"/>
                <w:color w:val="auto"/>
                <w:sz w:val="28"/>
                <w:szCs w:val="28"/>
                <w:highlight w:val="none"/>
                <w:lang w:eastAsia="zh-CN"/>
              </w:rPr>
              <w:t>最多</w:t>
            </w:r>
            <w:r>
              <w:rPr>
                <w:rFonts w:hint="eastAsia" w:ascii="宋体" w:hAnsi="宋体"/>
                <w:color w:val="auto"/>
                <w:sz w:val="28"/>
                <w:szCs w:val="28"/>
                <w:highlight w:val="none"/>
              </w:rPr>
              <w:t>保留一位小数）</w:t>
            </w:r>
          </w:p>
        </w:tc>
        <w:tc>
          <w:tcPr>
            <w:tcW w:w="2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________%</w:t>
            </w:r>
          </w:p>
        </w:tc>
      </w:tr>
    </w:tbl>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u w:val="single"/>
        </w:rPr>
      </w:pPr>
    </w:p>
    <w:p>
      <w:pPr>
        <w:spacing w:line="360" w:lineRule="auto"/>
        <w:rPr>
          <w:rFonts w:ascii="宋体" w:hAnsi="宋体"/>
          <w:color w:val="auto"/>
          <w:sz w:val="28"/>
          <w:szCs w:val="28"/>
          <w:highlight w:val="none"/>
          <w:u w:val="single"/>
        </w:rPr>
      </w:pPr>
    </w:p>
    <w:tbl>
      <w:tblPr>
        <w:tblStyle w:val="1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118" w:type="dxa"/>
            <w:vAlign w:val="center"/>
          </w:tcPr>
          <w:p>
            <w:pPr>
              <w:spacing w:line="360" w:lineRule="auto"/>
              <w:ind w:left="300" w:hanging="299" w:hangingChars="107"/>
              <w:jc w:val="center"/>
              <w:rPr>
                <w:rFonts w:ascii="宋体" w:hAnsi="宋体"/>
                <w:color w:val="auto"/>
                <w:sz w:val="28"/>
                <w:szCs w:val="28"/>
                <w:highlight w:val="none"/>
                <w:u w:val="single"/>
              </w:rPr>
            </w:pPr>
            <w:r>
              <w:rPr>
                <w:rFonts w:hint="eastAsia" w:ascii="宋体" w:hAnsi="宋体"/>
                <w:color w:val="auto"/>
                <w:sz w:val="28"/>
                <w:szCs w:val="28"/>
                <w:highlight w:val="none"/>
              </w:rPr>
              <w:t>项目负责人</w:t>
            </w:r>
          </w:p>
        </w:tc>
        <w:tc>
          <w:tcPr>
            <w:tcW w:w="5342" w:type="dxa"/>
            <w:vAlign w:val="center"/>
          </w:tcPr>
          <w:p>
            <w:pPr>
              <w:spacing w:line="360" w:lineRule="auto"/>
              <w:jc w:val="center"/>
              <w:rPr>
                <w:rFonts w:ascii="宋体" w:hAnsi="宋体"/>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118" w:type="dxa"/>
            <w:vAlign w:val="center"/>
          </w:tcPr>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身份证号码</w:t>
            </w:r>
          </w:p>
        </w:tc>
        <w:tc>
          <w:tcPr>
            <w:tcW w:w="5342" w:type="dxa"/>
            <w:vAlign w:val="center"/>
          </w:tcPr>
          <w:p>
            <w:pPr>
              <w:spacing w:line="360" w:lineRule="auto"/>
              <w:jc w:val="center"/>
              <w:rPr>
                <w:rFonts w:ascii="宋体" w:hAnsi="宋体"/>
                <w:color w:val="auto"/>
                <w:sz w:val="28"/>
                <w:szCs w:val="28"/>
                <w:highlight w:val="none"/>
                <w:u w:val="single"/>
              </w:rPr>
            </w:pPr>
          </w:p>
        </w:tc>
      </w:tr>
    </w:tbl>
    <w:p>
      <w:pPr>
        <w:spacing w:line="360" w:lineRule="auto"/>
        <w:rPr>
          <w:rFonts w:ascii="宋体" w:hAnsi="宋体"/>
          <w:color w:val="auto"/>
          <w:sz w:val="28"/>
          <w:szCs w:val="28"/>
          <w:highlight w:val="none"/>
          <w:u w:val="single"/>
        </w:rPr>
      </w:pPr>
    </w:p>
    <w:p>
      <w:pPr>
        <w:spacing w:line="360" w:lineRule="auto"/>
        <w:ind w:firstLine="980" w:firstLineChars="350"/>
        <w:rPr>
          <w:rFonts w:ascii="宋体" w:hAnsi="宋体"/>
          <w:color w:val="auto"/>
          <w:sz w:val="28"/>
          <w:szCs w:val="28"/>
          <w:highlight w:val="none"/>
          <w:u w:val="single"/>
        </w:rPr>
      </w:pPr>
      <w:r>
        <w:rPr>
          <w:rFonts w:hint="eastAsia" w:ascii="宋体" w:hAnsi="宋体"/>
          <w:color w:val="auto"/>
          <w:sz w:val="28"/>
          <w:szCs w:val="28"/>
          <w:highlight w:val="none"/>
        </w:rPr>
        <w:t>投标方代表签字：    职  务：</w:t>
      </w:r>
    </w:p>
    <w:p>
      <w:pPr>
        <w:spacing w:line="360" w:lineRule="auto"/>
        <w:ind w:firstLine="980" w:firstLineChars="350"/>
        <w:rPr>
          <w:rFonts w:ascii="宋体" w:hAnsi="宋体"/>
          <w:color w:val="auto"/>
          <w:sz w:val="28"/>
          <w:szCs w:val="28"/>
          <w:highlight w:val="none"/>
          <w:u w:val="single"/>
        </w:rPr>
      </w:pPr>
      <w:r>
        <w:rPr>
          <w:rFonts w:hint="eastAsia" w:ascii="宋体" w:hAnsi="宋体"/>
          <w:color w:val="auto"/>
          <w:sz w:val="28"/>
          <w:szCs w:val="28"/>
          <w:highlight w:val="none"/>
        </w:rPr>
        <w:t>日  期：</w:t>
      </w:r>
    </w:p>
    <w:p>
      <w:pPr>
        <w:spacing w:line="360" w:lineRule="auto"/>
        <w:ind w:firstLine="720"/>
        <w:rPr>
          <w:rFonts w:ascii="宋体" w:hAnsi="宋体"/>
          <w:b/>
          <w:bCs/>
          <w:color w:val="auto"/>
          <w:sz w:val="28"/>
          <w:szCs w:val="28"/>
          <w:highlight w:val="none"/>
        </w:rPr>
      </w:pPr>
      <w:r>
        <w:rPr>
          <w:rFonts w:hint="eastAsia" w:ascii="宋体" w:hAnsi="宋体"/>
          <w:color w:val="auto"/>
          <w:sz w:val="28"/>
          <w:szCs w:val="28"/>
          <w:highlight w:val="none"/>
        </w:rPr>
        <w:t>备注：此表在不改变表式的情况下，可自行制作。</w:t>
      </w:r>
    </w:p>
    <w:p>
      <w:pPr>
        <w:spacing w:line="360" w:lineRule="auto"/>
        <w:jc w:val="left"/>
        <w:rPr>
          <w:rFonts w:ascii="宋体" w:hAnsi="宋体"/>
          <w:bCs/>
          <w:color w:val="auto"/>
          <w:sz w:val="28"/>
          <w:szCs w:val="28"/>
          <w:highlight w:val="none"/>
        </w:rPr>
      </w:pPr>
    </w:p>
    <w:p>
      <w:pPr>
        <w:spacing w:line="360" w:lineRule="auto"/>
        <w:jc w:val="left"/>
        <w:rPr>
          <w:rFonts w:ascii="宋体" w:hAnsi="宋体"/>
          <w:bCs/>
          <w:color w:val="auto"/>
          <w:sz w:val="28"/>
          <w:szCs w:val="28"/>
          <w:highlight w:val="none"/>
        </w:rPr>
      </w:pPr>
      <w:r>
        <w:rPr>
          <w:rFonts w:hint="eastAsia" w:ascii="宋体" w:hAnsi="宋体"/>
          <w:bCs/>
          <w:color w:val="auto"/>
          <w:sz w:val="28"/>
          <w:szCs w:val="28"/>
          <w:highlight w:val="none"/>
        </w:rPr>
        <w:t>表三</w:t>
      </w:r>
    </w:p>
    <w:p>
      <w:pPr>
        <w:spacing w:line="360" w:lineRule="auto"/>
        <w:jc w:val="center"/>
        <w:rPr>
          <w:rFonts w:ascii="宋体" w:hAnsi="宋体"/>
          <w:bCs/>
          <w:color w:val="auto"/>
          <w:sz w:val="28"/>
          <w:szCs w:val="28"/>
          <w:highlight w:val="none"/>
        </w:rPr>
      </w:pPr>
      <w:r>
        <w:rPr>
          <w:rFonts w:hint="eastAsia" w:ascii="宋体" w:hAnsi="宋体"/>
          <w:bCs/>
          <w:color w:val="auto"/>
          <w:sz w:val="28"/>
          <w:szCs w:val="28"/>
          <w:highlight w:val="none"/>
        </w:rPr>
        <w:t>投标单位基本情况表</w:t>
      </w:r>
    </w:p>
    <w:p>
      <w:pPr>
        <w:spacing w:line="360" w:lineRule="auto"/>
        <w:rPr>
          <w:rFonts w:ascii="宋体" w:hAnsi="宋体"/>
          <w:bCs/>
          <w:color w:val="auto"/>
          <w:sz w:val="28"/>
          <w:szCs w:val="28"/>
          <w:highlight w:val="none"/>
        </w:rPr>
      </w:pPr>
    </w:p>
    <w:tbl>
      <w:tblPr>
        <w:tblStyle w:val="15"/>
        <w:tblpPr w:leftFromText="180" w:rightFromText="180" w:vertAnchor="text" w:horzAnchor="margin" w:tblpY="3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080"/>
        <w:gridCol w:w="1809"/>
        <w:gridCol w:w="716"/>
        <w:gridCol w:w="540"/>
        <w:gridCol w:w="1092"/>
        <w:gridCol w:w="177"/>
        <w:gridCol w:w="72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投标人名称</w:t>
            </w:r>
          </w:p>
        </w:tc>
        <w:tc>
          <w:tcPr>
            <w:tcW w:w="7574" w:type="dxa"/>
            <w:gridSpan w:val="8"/>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注册地址</w:t>
            </w:r>
          </w:p>
        </w:tc>
        <w:tc>
          <w:tcPr>
            <w:tcW w:w="4145" w:type="dxa"/>
            <w:gridSpan w:val="4"/>
          </w:tcPr>
          <w:p>
            <w:pPr>
              <w:spacing w:line="360" w:lineRule="auto"/>
              <w:rPr>
                <w:rFonts w:ascii="宋体" w:hAnsi="宋体"/>
                <w:color w:val="auto"/>
                <w:szCs w:val="21"/>
                <w:highlight w:val="none"/>
              </w:rPr>
            </w:pPr>
          </w:p>
        </w:tc>
        <w:tc>
          <w:tcPr>
            <w:tcW w:w="1092" w:type="dxa"/>
          </w:tcPr>
          <w:p>
            <w:pPr>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2337" w:type="dxa"/>
            <w:gridSpan w:val="3"/>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86" w:type="dxa"/>
            <w:vMerge w:val="restart"/>
            <w:vAlign w:val="center"/>
          </w:tcPr>
          <w:p>
            <w:pPr>
              <w:spacing w:line="360" w:lineRule="auto"/>
              <w:jc w:val="left"/>
              <w:rPr>
                <w:rFonts w:ascii="宋体" w:hAnsi="宋体"/>
                <w:color w:val="auto"/>
                <w:szCs w:val="21"/>
                <w:highlight w:val="none"/>
              </w:rPr>
            </w:pPr>
            <w:r>
              <w:rPr>
                <w:rFonts w:hint="eastAsia" w:ascii="宋体" w:hAnsi="宋体"/>
                <w:color w:val="auto"/>
                <w:szCs w:val="21"/>
                <w:highlight w:val="none"/>
              </w:rPr>
              <w:t>联系方式</w:t>
            </w:r>
          </w:p>
        </w:tc>
        <w:tc>
          <w:tcPr>
            <w:tcW w:w="1080" w:type="dxa"/>
          </w:tcPr>
          <w:p>
            <w:pPr>
              <w:spacing w:line="360" w:lineRule="auto"/>
              <w:rPr>
                <w:rFonts w:ascii="宋体" w:hAnsi="宋体"/>
                <w:color w:val="auto"/>
                <w:szCs w:val="21"/>
                <w:highlight w:val="none"/>
              </w:rPr>
            </w:pPr>
            <w:r>
              <w:rPr>
                <w:rFonts w:hint="eastAsia" w:ascii="宋体" w:hAnsi="宋体"/>
                <w:color w:val="auto"/>
                <w:szCs w:val="21"/>
                <w:highlight w:val="none"/>
              </w:rPr>
              <w:t>联系人</w:t>
            </w:r>
          </w:p>
        </w:tc>
        <w:tc>
          <w:tcPr>
            <w:tcW w:w="3065" w:type="dxa"/>
            <w:gridSpan w:val="3"/>
          </w:tcPr>
          <w:p>
            <w:pPr>
              <w:spacing w:line="360" w:lineRule="auto"/>
              <w:rPr>
                <w:rFonts w:ascii="宋体" w:hAnsi="宋体"/>
                <w:color w:val="auto"/>
                <w:szCs w:val="21"/>
                <w:highlight w:val="none"/>
              </w:rPr>
            </w:pPr>
          </w:p>
        </w:tc>
        <w:tc>
          <w:tcPr>
            <w:tcW w:w="1092" w:type="dxa"/>
          </w:tcPr>
          <w:p>
            <w:pPr>
              <w:spacing w:line="360" w:lineRule="auto"/>
              <w:rPr>
                <w:rFonts w:ascii="宋体" w:hAnsi="宋体"/>
                <w:color w:val="auto"/>
                <w:szCs w:val="21"/>
                <w:highlight w:val="none"/>
              </w:rPr>
            </w:pPr>
            <w:r>
              <w:rPr>
                <w:rFonts w:hint="eastAsia" w:ascii="宋体" w:hAnsi="宋体"/>
                <w:color w:val="auto"/>
                <w:szCs w:val="21"/>
                <w:highlight w:val="none"/>
              </w:rPr>
              <w:t>电话</w:t>
            </w:r>
          </w:p>
        </w:tc>
        <w:tc>
          <w:tcPr>
            <w:tcW w:w="2337" w:type="dxa"/>
            <w:gridSpan w:val="3"/>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86" w:type="dxa"/>
            <w:vMerge w:val="continue"/>
          </w:tcPr>
          <w:p>
            <w:pPr>
              <w:spacing w:line="360" w:lineRule="auto"/>
              <w:rPr>
                <w:rFonts w:ascii="宋体" w:hAnsi="宋体"/>
                <w:color w:val="auto"/>
                <w:szCs w:val="21"/>
                <w:highlight w:val="none"/>
              </w:rPr>
            </w:pPr>
          </w:p>
        </w:tc>
        <w:tc>
          <w:tcPr>
            <w:tcW w:w="1080" w:type="dxa"/>
          </w:tcPr>
          <w:p>
            <w:pPr>
              <w:spacing w:line="360" w:lineRule="auto"/>
              <w:rPr>
                <w:rFonts w:ascii="宋体" w:hAnsi="宋体"/>
                <w:color w:val="auto"/>
                <w:szCs w:val="21"/>
                <w:highlight w:val="none"/>
              </w:rPr>
            </w:pPr>
            <w:r>
              <w:rPr>
                <w:rFonts w:hint="eastAsia" w:ascii="宋体" w:hAnsi="宋体"/>
                <w:color w:val="auto"/>
                <w:szCs w:val="21"/>
                <w:highlight w:val="none"/>
              </w:rPr>
              <w:t>传真</w:t>
            </w:r>
          </w:p>
        </w:tc>
        <w:tc>
          <w:tcPr>
            <w:tcW w:w="3065" w:type="dxa"/>
            <w:gridSpan w:val="3"/>
          </w:tcPr>
          <w:p>
            <w:pPr>
              <w:spacing w:line="360" w:lineRule="auto"/>
              <w:rPr>
                <w:rFonts w:ascii="宋体" w:hAnsi="宋体"/>
                <w:color w:val="auto"/>
                <w:szCs w:val="21"/>
                <w:highlight w:val="none"/>
              </w:rPr>
            </w:pPr>
          </w:p>
        </w:tc>
        <w:tc>
          <w:tcPr>
            <w:tcW w:w="1092" w:type="dxa"/>
          </w:tcPr>
          <w:p>
            <w:pPr>
              <w:spacing w:line="360" w:lineRule="auto"/>
              <w:rPr>
                <w:rFonts w:ascii="宋体" w:hAnsi="宋体"/>
                <w:color w:val="auto"/>
                <w:szCs w:val="21"/>
                <w:highlight w:val="none"/>
              </w:rPr>
            </w:pPr>
            <w:r>
              <w:rPr>
                <w:rFonts w:hint="eastAsia" w:ascii="宋体" w:hAnsi="宋体"/>
                <w:color w:val="auto"/>
                <w:szCs w:val="21"/>
                <w:highlight w:val="none"/>
              </w:rPr>
              <w:t>网址</w:t>
            </w:r>
          </w:p>
        </w:tc>
        <w:tc>
          <w:tcPr>
            <w:tcW w:w="2337" w:type="dxa"/>
            <w:gridSpan w:val="3"/>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组织结构</w:t>
            </w:r>
          </w:p>
        </w:tc>
        <w:tc>
          <w:tcPr>
            <w:tcW w:w="7574" w:type="dxa"/>
            <w:gridSpan w:val="8"/>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法定代表人</w:t>
            </w:r>
          </w:p>
        </w:tc>
        <w:tc>
          <w:tcPr>
            <w:tcW w:w="1080" w:type="dxa"/>
          </w:tcPr>
          <w:p>
            <w:pPr>
              <w:spacing w:line="360" w:lineRule="auto"/>
              <w:rPr>
                <w:rFonts w:ascii="宋体" w:hAnsi="宋体"/>
                <w:color w:val="auto"/>
                <w:szCs w:val="21"/>
                <w:highlight w:val="none"/>
              </w:rPr>
            </w:pPr>
            <w:r>
              <w:rPr>
                <w:rFonts w:hint="eastAsia" w:ascii="宋体" w:hAnsi="宋体"/>
                <w:color w:val="auto"/>
                <w:szCs w:val="21"/>
                <w:highlight w:val="none"/>
              </w:rPr>
              <w:t>姓名</w:t>
            </w:r>
          </w:p>
        </w:tc>
        <w:tc>
          <w:tcPr>
            <w:tcW w:w="1809" w:type="dxa"/>
          </w:tcPr>
          <w:p>
            <w:pPr>
              <w:spacing w:line="360" w:lineRule="auto"/>
              <w:rPr>
                <w:rFonts w:ascii="宋体" w:hAnsi="宋体"/>
                <w:color w:val="auto"/>
                <w:szCs w:val="21"/>
                <w:highlight w:val="none"/>
              </w:rPr>
            </w:pPr>
          </w:p>
        </w:tc>
        <w:tc>
          <w:tcPr>
            <w:tcW w:w="1256" w:type="dxa"/>
            <w:gridSpan w:val="2"/>
          </w:tcPr>
          <w:p>
            <w:pPr>
              <w:spacing w:line="360" w:lineRule="auto"/>
              <w:rPr>
                <w:rFonts w:ascii="宋体" w:hAnsi="宋体"/>
                <w:color w:val="auto"/>
                <w:szCs w:val="21"/>
                <w:highlight w:val="none"/>
              </w:rPr>
            </w:pPr>
            <w:r>
              <w:rPr>
                <w:rFonts w:hint="eastAsia" w:ascii="宋体" w:hAnsi="宋体"/>
                <w:color w:val="auto"/>
                <w:szCs w:val="21"/>
                <w:highlight w:val="none"/>
              </w:rPr>
              <w:t>技术职称</w:t>
            </w:r>
          </w:p>
        </w:tc>
        <w:tc>
          <w:tcPr>
            <w:tcW w:w="1269" w:type="dxa"/>
            <w:gridSpan w:val="2"/>
          </w:tcPr>
          <w:p>
            <w:pPr>
              <w:spacing w:line="360" w:lineRule="auto"/>
              <w:rPr>
                <w:rFonts w:ascii="宋体" w:hAnsi="宋体"/>
                <w:color w:val="auto"/>
                <w:szCs w:val="21"/>
                <w:highlight w:val="none"/>
              </w:rPr>
            </w:pPr>
          </w:p>
        </w:tc>
        <w:tc>
          <w:tcPr>
            <w:tcW w:w="725" w:type="dxa"/>
          </w:tcPr>
          <w:p>
            <w:pPr>
              <w:spacing w:line="360" w:lineRule="auto"/>
              <w:rPr>
                <w:rFonts w:ascii="宋体" w:hAnsi="宋体"/>
                <w:color w:val="auto"/>
                <w:szCs w:val="21"/>
                <w:highlight w:val="none"/>
              </w:rPr>
            </w:pPr>
            <w:r>
              <w:rPr>
                <w:rFonts w:hint="eastAsia" w:ascii="宋体" w:hAnsi="宋体"/>
                <w:color w:val="auto"/>
                <w:szCs w:val="21"/>
                <w:highlight w:val="none"/>
              </w:rPr>
              <w:t>电话</w:t>
            </w:r>
          </w:p>
        </w:tc>
        <w:tc>
          <w:tcPr>
            <w:tcW w:w="1435"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技术负责人</w:t>
            </w:r>
          </w:p>
        </w:tc>
        <w:tc>
          <w:tcPr>
            <w:tcW w:w="1080" w:type="dxa"/>
          </w:tcPr>
          <w:p>
            <w:pPr>
              <w:spacing w:line="360" w:lineRule="auto"/>
              <w:rPr>
                <w:rFonts w:ascii="宋体" w:hAnsi="宋体"/>
                <w:color w:val="auto"/>
                <w:szCs w:val="21"/>
                <w:highlight w:val="none"/>
              </w:rPr>
            </w:pPr>
            <w:r>
              <w:rPr>
                <w:rFonts w:hint="eastAsia" w:ascii="宋体" w:hAnsi="宋体"/>
                <w:color w:val="auto"/>
                <w:szCs w:val="21"/>
                <w:highlight w:val="none"/>
              </w:rPr>
              <w:t>姓名</w:t>
            </w:r>
          </w:p>
        </w:tc>
        <w:tc>
          <w:tcPr>
            <w:tcW w:w="1809" w:type="dxa"/>
          </w:tcPr>
          <w:p>
            <w:pPr>
              <w:spacing w:line="360" w:lineRule="auto"/>
              <w:rPr>
                <w:rFonts w:ascii="宋体" w:hAnsi="宋体"/>
                <w:color w:val="auto"/>
                <w:szCs w:val="21"/>
                <w:highlight w:val="none"/>
              </w:rPr>
            </w:pPr>
          </w:p>
        </w:tc>
        <w:tc>
          <w:tcPr>
            <w:tcW w:w="1256" w:type="dxa"/>
            <w:gridSpan w:val="2"/>
          </w:tcPr>
          <w:p>
            <w:pPr>
              <w:spacing w:line="360" w:lineRule="auto"/>
              <w:rPr>
                <w:rFonts w:ascii="宋体" w:hAnsi="宋体"/>
                <w:color w:val="auto"/>
                <w:szCs w:val="21"/>
                <w:highlight w:val="none"/>
              </w:rPr>
            </w:pPr>
            <w:r>
              <w:rPr>
                <w:rFonts w:hint="eastAsia" w:ascii="宋体" w:hAnsi="宋体"/>
                <w:color w:val="auto"/>
                <w:szCs w:val="21"/>
                <w:highlight w:val="none"/>
              </w:rPr>
              <w:t>技术职称</w:t>
            </w:r>
          </w:p>
        </w:tc>
        <w:tc>
          <w:tcPr>
            <w:tcW w:w="1269" w:type="dxa"/>
            <w:gridSpan w:val="2"/>
          </w:tcPr>
          <w:p>
            <w:pPr>
              <w:spacing w:line="360" w:lineRule="auto"/>
              <w:rPr>
                <w:rFonts w:ascii="宋体" w:hAnsi="宋体"/>
                <w:color w:val="auto"/>
                <w:szCs w:val="21"/>
                <w:highlight w:val="none"/>
              </w:rPr>
            </w:pPr>
          </w:p>
        </w:tc>
        <w:tc>
          <w:tcPr>
            <w:tcW w:w="725" w:type="dxa"/>
          </w:tcPr>
          <w:p>
            <w:pPr>
              <w:spacing w:line="360" w:lineRule="auto"/>
              <w:rPr>
                <w:rFonts w:ascii="宋体" w:hAnsi="宋体"/>
                <w:color w:val="auto"/>
                <w:szCs w:val="21"/>
                <w:highlight w:val="none"/>
              </w:rPr>
            </w:pPr>
            <w:r>
              <w:rPr>
                <w:rFonts w:hint="eastAsia" w:ascii="宋体" w:hAnsi="宋体"/>
                <w:color w:val="auto"/>
                <w:szCs w:val="21"/>
                <w:highlight w:val="none"/>
              </w:rPr>
              <w:t>电话</w:t>
            </w:r>
          </w:p>
        </w:tc>
        <w:tc>
          <w:tcPr>
            <w:tcW w:w="1435"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成立时间</w:t>
            </w:r>
          </w:p>
        </w:tc>
        <w:tc>
          <w:tcPr>
            <w:tcW w:w="2889" w:type="dxa"/>
            <w:gridSpan w:val="2"/>
          </w:tcPr>
          <w:p>
            <w:pPr>
              <w:spacing w:line="360" w:lineRule="auto"/>
              <w:rPr>
                <w:rFonts w:ascii="宋体" w:hAnsi="宋体"/>
                <w:color w:val="auto"/>
                <w:szCs w:val="21"/>
                <w:highlight w:val="none"/>
              </w:rPr>
            </w:pPr>
          </w:p>
        </w:tc>
        <w:tc>
          <w:tcPr>
            <w:tcW w:w="4685" w:type="dxa"/>
            <w:gridSpan w:val="6"/>
          </w:tcPr>
          <w:p>
            <w:pPr>
              <w:spacing w:line="360" w:lineRule="auto"/>
              <w:rPr>
                <w:rFonts w:ascii="宋体" w:hAns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企业资质等级</w:t>
            </w:r>
          </w:p>
        </w:tc>
        <w:tc>
          <w:tcPr>
            <w:tcW w:w="2889" w:type="dxa"/>
            <w:gridSpan w:val="2"/>
          </w:tcPr>
          <w:p>
            <w:pPr>
              <w:spacing w:line="360" w:lineRule="auto"/>
              <w:rPr>
                <w:rFonts w:ascii="宋体" w:hAnsi="宋体"/>
                <w:color w:val="auto"/>
                <w:szCs w:val="21"/>
                <w:highlight w:val="none"/>
              </w:rPr>
            </w:pPr>
          </w:p>
        </w:tc>
        <w:tc>
          <w:tcPr>
            <w:tcW w:w="716"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其中</w:t>
            </w:r>
          </w:p>
        </w:tc>
        <w:tc>
          <w:tcPr>
            <w:tcW w:w="1809" w:type="dxa"/>
            <w:gridSpan w:val="3"/>
          </w:tcPr>
          <w:p>
            <w:pPr>
              <w:spacing w:line="360" w:lineRule="auto"/>
              <w:rPr>
                <w:rFonts w:ascii="宋体" w:hAnsi="宋体"/>
                <w:color w:val="auto"/>
                <w:szCs w:val="21"/>
                <w:highlight w:val="none"/>
              </w:rPr>
            </w:pPr>
            <w:r>
              <w:rPr>
                <w:rFonts w:hint="eastAsia" w:ascii="宋体" w:hAnsi="宋体"/>
                <w:color w:val="auto"/>
                <w:szCs w:val="21"/>
                <w:highlight w:val="none"/>
              </w:rPr>
              <w:t>项目经理</w:t>
            </w:r>
          </w:p>
        </w:tc>
        <w:tc>
          <w:tcPr>
            <w:tcW w:w="2160" w:type="dxa"/>
            <w:gridSpan w:val="2"/>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营业执照号</w:t>
            </w:r>
          </w:p>
        </w:tc>
        <w:tc>
          <w:tcPr>
            <w:tcW w:w="2889" w:type="dxa"/>
            <w:gridSpan w:val="2"/>
          </w:tcPr>
          <w:p>
            <w:pPr>
              <w:spacing w:line="360" w:lineRule="auto"/>
              <w:rPr>
                <w:rFonts w:ascii="宋体" w:hAnsi="宋体"/>
                <w:color w:val="auto"/>
                <w:szCs w:val="21"/>
                <w:highlight w:val="none"/>
              </w:rPr>
            </w:pPr>
          </w:p>
        </w:tc>
        <w:tc>
          <w:tcPr>
            <w:tcW w:w="716" w:type="dxa"/>
            <w:vMerge w:val="continue"/>
          </w:tcPr>
          <w:p>
            <w:pPr>
              <w:spacing w:line="360" w:lineRule="auto"/>
              <w:rPr>
                <w:rFonts w:ascii="宋体" w:hAnsi="宋体"/>
                <w:color w:val="auto"/>
                <w:szCs w:val="21"/>
                <w:highlight w:val="none"/>
              </w:rPr>
            </w:pPr>
          </w:p>
        </w:tc>
        <w:tc>
          <w:tcPr>
            <w:tcW w:w="1809" w:type="dxa"/>
            <w:gridSpan w:val="3"/>
          </w:tcPr>
          <w:p>
            <w:pPr>
              <w:spacing w:line="360" w:lineRule="auto"/>
              <w:rPr>
                <w:rFonts w:ascii="宋体" w:hAnsi="宋体"/>
                <w:color w:val="auto"/>
                <w:szCs w:val="21"/>
                <w:highlight w:val="none"/>
              </w:rPr>
            </w:pPr>
            <w:r>
              <w:rPr>
                <w:rFonts w:hint="eastAsia" w:ascii="宋体" w:hAnsi="宋体"/>
                <w:color w:val="auto"/>
                <w:szCs w:val="21"/>
                <w:highlight w:val="none"/>
              </w:rPr>
              <w:t>高级职称人员</w:t>
            </w:r>
          </w:p>
        </w:tc>
        <w:tc>
          <w:tcPr>
            <w:tcW w:w="2160" w:type="dxa"/>
            <w:gridSpan w:val="2"/>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注册资金</w:t>
            </w:r>
          </w:p>
        </w:tc>
        <w:tc>
          <w:tcPr>
            <w:tcW w:w="2889" w:type="dxa"/>
            <w:gridSpan w:val="2"/>
          </w:tcPr>
          <w:p>
            <w:pPr>
              <w:spacing w:line="360" w:lineRule="auto"/>
              <w:rPr>
                <w:rFonts w:ascii="宋体" w:hAnsi="宋体"/>
                <w:color w:val="auto"/>
                <w:szCs w:val="21"/>
                <w:highlight w:val="none"/>
              </w:rPr>
            </w:pPr>
          </w:p>
        </w:tc>
        <w:tc>
          <w:tcPr>
            <w:tcW w:w="716" w:type="dxa"/>
            <w:vMerge w:val="continue"/>
          </w:tcPr>
          <w:p>
            <w:pPr>
              <w:spacing w:line="360" w:lineRule="auto"/>
              <w:rPr>
                <w:rFonts w:ascii="宋体" w:hAnsi="宋体"/>
                <w:color w:val="auto"/>
                <w:szCs w:val="21"/>
                <w:highlight w:val="none"/>
              </w:rPr>
            </w:pPr>
          </w:p>
        </w:tc>
        <w:tc>
          <w:tcPr>
            <w:tcW w:w="1809" w:type="dxa"/>
            <w:gridSpan w:val="3"/>
          </w:tcPr>
          <w:p>
            <w:pPr>
              <w:spacing w:line="360" w:lineRule="auto"/>
              <w:rPr>
                <w:rFonts w:ascii="宋体" w:hAnsi="宋体"/>
                <w:color w:val="auto"/>
                <w:szCs w:val="21"/>
                <w:highlight w:val="none"/>
              </w:rPr>
            </w:pPr>
            <w:r>
              <w:rPr>
                <w:rFonts w:hint="eastAsia" w:ascii="宋体" w:hAnsi="宋体"/>
                <w:color w:val="auto"/>
                <w:szCs w:val="21"/>
                <w:highlight w:val="none"/>
              </w:rPr>
              <w:t>中级职称人员</w:t>
            </w:r>
          </w:p>
        </w:tc>
        <w:tc>
          <w:tcPr>
            <w:tcW w:w="2160" w:type="dxa"/>
            <w:gridSpan w:val="2"/>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2889" w:type="dxa"/>
            <w:gridSpan w:val="2"/>
          </w:tcPr>
          <w:p>
            <w:pPr>
              <w:spacing w:line="360" w:lineRule="auto"/>
              <w:rPr>
                <w:rFonts w:ascii="宋体" w:hAnsi="宋体"/>
                <w:color w:val="auto"/>
                <w:szCs w:val="21"/>
                <w:highlight w:val="none"/>
              </w:rPr>
            </w:pPr>
          </w:p>
        </w:tc>
        <w:tc>
          <w:tcPr>
            <w:tcW w:w="716" w:type="dxa"/>
            <w:vMerge w:val="continue"/>
          </w:tcPr>
          <w:p>
            <w:pPr>
              <w:spacing w:line="360" w:lineRule="auto"/>
              <w:rPr>
                <w:rFonts w:ascii="宋体" w:hAnsi="宋体"/>
                <w:color w:val="auto"/>
                <w:szCs w:val="21"/>
                <w:highlight w:val="none"/>
              </w:rPr>
            </w:pPr>
          </w:p>
        </w:tc>
        <w:tc>
          <w:tcPr>
            <w:tcW w:w="1809" w:type="dxa"/>
            <w:gridSpan w:val="3"/>
          </w:tcPr>
          <w:p>
            <w:pPr>
              <w:spacing w:line="360" w:lineRule="auto"/>
              <w:rPr>
                <w:rFonts w:ascii="宋体" w:hAnsi="宋体"/>
                <w:color w:val="auto"/>
                <w:szCs w:val="21"/>
                <w:highlight w:val="none"/>
              </w:rPr>
            </w:pPr>
            <w:r>
              <w:rPr>
                <w:rFonts w:hint="eastAsia" w:ascii="宋体" w:hAnsi="宋体"/>
                <w:color w:val="auto"/>
                <w:szCs w:val="21"/>
                <w:highlight w:val="none"/>
              </w:rPr>
              <w:t>初级职称人员</w:t>
            </w:r>
          </w:p>
        </w:tc>
        <w:tc>
          <w:tcPr>
            <w:tcW w:w="2160" w:type="dxa"/>
            <w:gridSpan w:val="2"/>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账号</w:t>
            </w:r>
          </w:p>
        </w:tc>
        <w:tc>
          <w:tcPr>
            <w:tcW w:w="2889" w:type="dxa"/>
            <w:gridSpan w:val="2"/>
          </w:tcPr>
          <w:p>
            <w:pPr>
              <w:spacing w:line="360" w:lineRule="auto"/>
              <w:rPr>
                <w:rFonts w:ascii="宋体" w:hAnsi="宋体"/>
                <w:color w:val="auto"/>
                <w:szCs w:val="21"/>
                <w:highlight w:val="none"/>
              </w:rPr>
            </w:pPr>
          </w:p>
        </w:tc>
        <w:tc>
          <w:tcPr>
            <w:tcW w:w="716" w:type="dxa"/>
            <w:vMerge w:val="continue"/>
          </w:tcPr>
          <w:p>
            <w:pPr>
              <w:spacing w:line="360" w:lineRule="auto"/>
              <w:rPr>
                <w:rFonts w:ascii="宋体" w:hAnsi="宋体"/>
                <w:color w:val="auto"/>
                <w:szCs w:val="21"/>
                <w:highlight w:val="none"/>
              </w:rPr>
            </w:pPr>
          </w:p>
        </w:tc>
        <w:tc>
          <w:tcPr>
            <w:tcW w:w="1809" w:type="dxa"/>
            <w:gridSpan w:val="3"/>
          </w:tcPr>
          <w:p>
            <w:pPr>
              <w:spacing w:line="360" w:lineRule="auto"/>
              <w:rPr>
                <w:rFonts w:ascii="宋体" w:hAnsi="宋体"/>
                <w:color w:val="auto"/>
                <w:szCs w:val="21"/>
                <w:highlight w:val="none"/>
              </w:rPr>
            </w:pPr>
            <w:r>
              <w:rPr>
                <w:rFonts w:hint="eastAsia" w:ascii="宋体" w:hAnsi="宋体"/>
                <w:color w:val="auto"/>
                <w:szCs w:val="21"/>
                <w:highlight w:val="none"/>
              </w:rPr>
              <w:t>技工</w:t>
            </w:r>
          </w:p>
        </w:tc>
        <w:tc>
          <w:tcPr>
            <w:tcW w:w="2160" w:type="dxa"/>
            <w:gridSpan w:val="2"/>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986" w:type="dxa"/>
          </w:tcPr>
          <w:p>
            <w:pPr>
              <w:spacing w:line="360" w:lineRule="auto"/>
              <w:rPr>
                <w:rFonts w:ascii="宋体" w:hAnsi="宋体"/>
                <w:color w:val="auto"/>
                <w:szCs w:val="21"/>
                <w:highlight w:val="none"/>
              </w:rPr>
            </w:pPr>
            <w:r>
              <w:rPr>
                <w:rFonts w:hint="eastAsia" w:ascii="宋体" w:hAnsi="宋体"/>
                <w:color w:val="auto"/>
                <w:szCs w:val="21"/>
                <w:highlight w:val="none"/>
              </w:rPr>
              <w:t>经营范围备注</w:t>
            </w:r>
          </w:p>
        </w:tc>
        <w:tc>
          <w:tcPr>
            <w:tcW w:w="7574" w:type="dxa"/>
            <w:gridSpan w:val="8"/>
          </w:tcPr>
          <w:p>
            <w:pPr>
              <w:spacing w:line="360" w:lineRule="auto"/>
              <w:ind w:firstLine="420" w:firstLineChars="200"/>
              <w:rPr>
                <w:rFonts w:ascii="宋体" w:hAnsi="宋体"/>
                <w:color w:val="auto"/>
                <w:szCs w:val="21"/>
                <w:highlight w:val="none"/>
              </w:rPr>
            </w:pPr>
          </w:p>
        </w:tc>
      </w:tr>
    </w:tbl>
    <w:p>
      <w:pPr>
        <w:widowControl/>
        <w:adjustRightInd w:val="0"/>
        <w:snapToGrid w:val="0"/>
        <w:spacing w:line="360" w:lineRule="exact"/>
        <w:jc w:val="left"/>
        <w:rPr>
          <w:color w:val="auto"/>
          <w:szCs w:val="21"/>
          <w:highlight w:val="none"/>
        </w:rPr>
      </w:pPr>
      <w:r>
        <w:rPr>
          <w:rFonts w:hint="eastAsia"/>
          <w:color w:val="auto"/>
          <w:szCs w:val="21"/>
          <w:highlight w:val="none"/>
        </w:rPr>
        <w:t>本表附：1、投标人营业执照副本复印件以及投标人认为需要的其他资料；</w:t>
      </w:r>
    </w:p>
    <w:p>
      <w:pPr>
        <w:widowControl/>
        <w:adjustRightInd w:val="0"/>
        <w:snapToGrid w:val="0"/>
        <w:spacing w:line="360" w:lineRule="exact"/>
        <w:jc w:val="left"/>
        <w:rPr>
          <w:color w:val="auto"/>
          <w:szCs w:val="21"/>
          <w:highlight w:val="none"/>
        </w:rPr>
      </w:pPr>
      <w:r>
        <w:rPr>
          <w:rFonts w:hint="eastAsia"/>
          <w:color w:val="auto"/>
          <w:szCs w:val="21"/>
          <w:highlight w:val="none"/>
        </w:rPr>
        <w:t>2、从“金华市建筑市场监督管理信息系统”中下载的，《金华市建筑业企业信息表》复印件。</w:t>
      </w:r>
    </w:p>
    <w:p>
      <w:pPr>
        <w:spacing w:line="360" w:lineRule="auto"/>
        <w:rPr>
          <w:rFonts w:ascii="宋体" w:hAnsi="宋体"/>
          <w:bCs/>
          <w:color w:val="auto"/>
          <w:sz w:val="28"/>
          <w:szCs w:val="28"/>
          <w:highlight w:val="none"/>
        </w:rPr>
      </w:pPr>
      <w:r>
        <w:rPr>
          <w:rFonts w:hint="eastAsia"/>
          <w:color w:val="auto"/>
          <w:szCs w:val="21"/>
          <w:highlight w:val="none"/>
        </w:rPr>
        <w:t>3、浙江省外投标人须提供有效期内的《省外企业进浙承接业务备案证明》复印件。</w:t>
      </w:r>
    </w:p>
    <w:p>
      <w:pPr>
        <w:spacing w:line="360" w:lineRule="auto"/>
        <w:rPr>
          <w:rFonts w:ascii="宋体" w:hAnsi="宋体"/>
          <w:bCs/>
          <w:color w:val="auto"/>
          <w:sz w:val="28"/>
          <w:szCs w:val="28"/>
          <w:highlight w:val="none"/>
        </w:rPr>
      </w:pPr>
    </w:p>
    <w:p>
      <w:pPr>
        <w:spacing w:line="360" w:lineRule="auto"/>
        <w:jc w:val="left"/>
        <w:rPr>
          <w:rFonts w:ascii="宋体" w:hAnsi="宋体"/>
          <w:bCs/>
          <w:color w:val="auto"/>
          <w:sz w:val="28"/>
          <w:szCs w:val="28"/>
          <w:highlight w:val="none"/>
        </w:rPr>
      </w:pPr>
      <w:r>
        <w:rPr>
          <w:rFonts w:hint="eastAsia" w:ascii="宋体" w:hAnsi="宋体"/>
          <w:bCs/>
          <w:color w:val="auto"/>
          <w:sz w:val="28"/>
          <w:szCs w:val="28"/>
          <w:highlight w:val="none"/>
        </w:rPr>
        <w:t>表四</w:t>
      </w:r>
    </w:p>
    <w:p>
      <w:pPr>
        <w:spacing w:line="360" w:lineRule="auto"/>
        <w:jc w:val="left"/>
        <w:rPr>
          <w:rFonts w:ascii="宋体" w:hAnsi="宋体"/>
          <w:b/>
          <w:bCs/>
          <w:color w:val="auto"/>
          <w:sz w:val="28"/>
          <w:szCs w:val="28"/>
          <w:highlight w:val="none"/>
        </w:rPr>
      </w:pPr>
    </w:p>
    <w:p>
      <w:pPr>
        <w:spacing w:line="360" w:lineRule="auto"/>
        <w:jc w:val="center"/>
        <w:rPr>
          <w:rFonts w:ascii="宋体" w:hAnsi="宋体"/>
          <w:bCs/>
          <w:color w:val="auto"/>
          <w:sz w:val="28"/>
          <w:szCs w:val="28"/>
          <w:highlight w:val="none"/>
        </w:rPr>
      </w:pPr>
      <w:r>
        <w:rPr>
          <w:rFonts w:hint="eastAsia" w:ascii="宋体" w:hAnsi="宋体"/>
          <w:bCs/>
          <w:color w:val="auto"/>
          <w:sz w:val="28"/>
          <w:szCs w:val="28"/>
          <w:highlight w:val="none"/>
        </w:rPr>
        <w:t>法定代表人授权书（格式）</w:t>
      </w:r>
    </w:p>
    <w:p>
      <w:pPr>
        <w:spacing w:line="360" w:lineRule="auto"/>
        <w:rPr>
          <w:rFonts w:ascii="宋体" w:hAnsi="宋体"/>
          <w:bCs/>
          <w:color w:val="auto"/>
          <w:sz w:val="28"/>
          <w:szCs w:val="28"/>
          <w:highlight w:val="none"/>
        </w:rPr>
      </w:pPr>
    </w:p>
    <w:p>
      <w:pPr>
        <w:widowControl/>
        <w:spacing w:line="360" w:lineRule="auto"/>
        <w:rPr>
          <w:color w:val="auto"/>
          <w:sz w:val="28"/>
          <w:szCs w:val="28"/>
          <w:highlight w:val="none"/>
          <w:u w:val="single"/>
        </w:rPr>
      </w:pPr>
      <w:r>
        <w:rPr>
          <w:color w:val="auto"/>
          <w:sz w:val="28"/>
          <w:szCs w:val="28"/>
          <w:highlight w:val="none"/>
        </w:rPr>
        <w:t>本授权委托书声明：本人</w:t>
      </w:r>
      <w:r>
        <w:rPr>
          <w:color w:val="auto"/>
          <w:sz w:val="28"/>
          <w:szCs w:val="28"/>
          <w:highlight w:val="none"/>
          <w:u w:val="single"/>
        </w:rPr>
        <w:t xml:space="preserve">        </w:t>
      </w:r>
      <w:r>
        <w:rPr>
          <w:color w:val="auto"/>
          <w:sz w:val="28"/>
          <w:szCs w:val="28"/>
          <w:highlight w:val="none"/>
        </w:rPr>
        <w:t>（姓名）系</w:t>
      </w:r>
      <w:r>
        <w:rPr>
          <w:color w:val="auto"/>
          <w:sz w:val="28"/>
          <w:szCs w:val="28"/>
          <w:highlight w:val="none"/>
          <w:u w:val="single"/>
        </w:rPr>
        <w:t xml:space="preserve">                 </w:t>
      </w:r>
      <w:r>
        <w:rPr>
          <w:color w:val="auto"/>
          <w:sz w:val="28"/>
          <w:szCs w:val="28"/>
          <w:highlight w:val="none"/>
        </w:rPr>
        <w:t>(投标人名称)的法定代表人,现授权委托</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 xml:space="preserve">  </w:t>
      </w:r>
      <w:r>
        <w:rPr>
          <w:color w:val="auto"/>
          <w:sz w:val="28"/>
          <w:szCs w:val="28"/>
          <w:highlight w:val="none"/>
        </w:rPr>
        <w:t xml:space="preserve"> （投标人名称)的</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w:t>
      </w:r>
      <w:r>
        <w:rPr>
          <w:color w:val="auto"/>
          <w:sz w:val="28"/>
          <w:szCs w:val="28"/>
          <w:highlight w:val="none"/>
        </w:rPr>
        <w:t>姓名）（以下称“授权代表” ），以本公司的名义参加</w:t>
      </w:r>
      <w:r>
        <w:rPr>
          <w:rFonts w:hint="eastAsia"/>
          <w:color w:val="auto"/>
          <w:sz w:val="28"/>
          <w:szCs w:val="28"/>
          <w:highlight w:val="none"/>
          <w:u w:val="single"/>
        </w:rPr>
        <w:t xml:space="preserve">                （项目名称）</w:t>
      </w:r>
      <w:r>
        <w:rPr>
          <w:rFonts w:hint="eastAsia"/>
          <w:color w:val="auto"/>
          <w:sz w:val="28"/>
          <w:szCs w:val="28"/>
          <w:highlight w:val="none"/>
        </w:rPr>
        <w:t>线上</w:t>
      </w:r>
      <w:r>
        <w:rPr>
          <w:color w:val="auto"/>
          <w:sz w:val="28"/>
          <w:szCs w:val="28"/>
          <w:highlight w:val="none"/>
        </w:rPr>
        <w:t>投标活动，授权代表在</w:t>
      </w:r>
      <w:r>
        <w:rPr>
          <w:rFonts w:hint="eastAsia"/>
          <w:color w:val="auto"/>
          <w:sz w:val="28"/>
          <w:szCs w:val="28"/>
          <w:highlight w:val="none"/>
        </w:rPr>
        <w:t>开标过程</w:t>
      </w:r>
      <w:r>
        <w:rPr>
          <w:color w:val="auto"/>
          <w:sz w:val="28"/>
          <w:szCs w:val="28"/>
          <w:highlight w:val="none"/>
        </w:rPr>
        <w:t>中所签署的一切文件和所处理的与之有关的一切事务,本人均予以承认。</w:t>
      </w:r>
    </w:p>
    <w:p>
      <w:pPr>
        <w:widowControl/>
        <w:spacing w:line="360" w:lineRule="auto"/>
        <w:ind w:firstLine="540"/>
        <w:rPr>
          <w:color w:val="auto"/>
          <w:sz w:val="28"/>
          <w:szCs w:val="28"/>
          <w:highlight w:val="none"/>
        </w:rPr>
      </w:pPr>
      <w:r>
        <w:rPr>
          <w:color w:val="auto"/>
          <w:sz w:val="28"/>
          <w:szCs w:val="28"/>
          <w:highlight w:val="none"/>
        </w:rPr>
        <w:t xml:space="preserve"> </w:t>
      </w:r>
    </w:p>
    <w:p>
      <w:pPr>
        <w:widowControl/>
        <w:spacing w:line="360" w:lineRule="auto"/>
        <w:ind w:firstLine="540"/>
        <w:rPr>
          <w:color w:val="auto"/>
          <w:sz w:val="28"/>
          <w:szCs w:val="28"/>
          <w:highlight w:val="none"/>
        </w:rPr>
      </w:pPr>
      <w:r>
        <w:rPr>
          <w:color w:val="auto"/>
          <w:sz w:val="28"/>
          <w:szCs w:val="28"/>
          <w:highlight w:val="none"/>
        </w:rPr>
        <w:t>授权代表无权转委托。</w:t>
      </w:r>
    </w:p>
    <w:p>
      <w:pPr>
        <w:widowControl/>
        <w:spacing w:line="360" w:lineRule="auto"/>
        <w:ind w:firstLine="552"/>
        <w:rPr>
          <w:color w:val="auto"/>
          <w:sz w:val="28"/>
          <w:szCs w:val="28"/>
          <w:highlight w:val="none"/>
          <w:u w:val="single"/>
        </w:rPr>
      </w:pPr>
      <w:r>
        <w:rPr>
          <w:color w:val="auto"/>
          <w:sz w:val="28"/>
          <w:szCs w:val="28"/>
          <w:highlight w:val="none"/>
        </w:rPr>
        <w:t>授权代表</w:t>
      </w:r>
      <w:r>
        <w:rPr>
          <w:rFonts w:hint="eastAsia"/>
          <w:color w:val="auto"/>
          <w:sz w:val="28"/>
          <w:szCs w:val="28"/>
          <w:highlight w:val="none"/>
        </w:rPr>
        <w:t>身份证号：</w:t>
      </w:r>
      <w:r>
        <w:rPr>
          <w:rFonts w:hint="eastAsia"/>
          <w:color w:val="auto"/>
          <w:sz w:val="28"/>
          <w:szCs w:val="28"/>
          <w:highlight w:val="none"/>
          <w:u w:val="single"/>
        </w:rPr>
        <w:t xml:space="preserve">                    </w:t>
      </w:r>
    </w:p>
    <w:p>
      <w:pPr>
        <w:widowControl/>
        <w:spacing w:line="360" w:lineRule="auto"/>
        <w:ind w:firstLine="552"/>
        <w:rPr>
          <w:color w:val="auto"/>
          <w:sz w:val="28"/>
          <w:szCs w:val="28"/>
          <w:highlight w:val="none"/>
          <w:u w:val="single"/>
        </w:rPr>
      </w:pPr>
      <w:r>
        <w:rPr>
          <w:color w:val="auto"/>
          <w:sz w:val="28"/>
          <w:szCs w:val="28"/>
          <w:highlight w:val="none"/>
        </w:rPr>
        <w:t>授权代表</w:t>
      </w:r>
      <w:r>
        <w:rPr>
          <w:rFonts w:hint="eastAsia"/>
          <w:color w:val="auto"/>
          <w:sz w:val="28"/>
          <w:szCs w:val="28"/>
          <w:highlight w:val="none"/>
        </w:rPr>
        <w:t>联系电话：</w:t>
      </w:r>
      <w:r>
        <w:rPr>
          <w:rFonts w:hint="eastAsia"/>
          <w:color w:val="auto"/>
          <w:sz w:val="28"/>
          <w:szCs w:val="28"/>
          <w:highlight w:val="none"/>
          <w:u w:val="single"/>
        </w:rPr>
        <w:t xml:space="preserve">                    </w:t>
      </w:r>
    </w:p>
    <w:p>
      <w:pPr>
        <w:widowControl/>
        <w:spacing w:line="360" w:lineRule="auto"/>
        <w:ind w:firstLine="552"/>
        <w:rPr>
          <w:color w:val="auto"/>
          <w:sz w:val="28"/>
          <w:szCs w:val="28"/>
          <w:highlight w:val="none"/>
          <w:u w:val="single"/>
        </w:rPr>
      </w:pPr>
      <w:r>
        <w:rPr>
          <w:rFonts w:hint="eastAsia"/>
          <w:color w:val="auto"/>
          <w:sz w:val="28"/>
          <w:szCs w:val="28"/>
          <w:highlight w:val="none"/>
        </w:rPr>
        <w:t xml:space="preserve">授权代表钉钉号：  </w:t>
      </w:r>
      <w:r>
        <w:rPr>
          <w:rFonts w:hint="eastAsia"/>
          <w:color w:val="auto"/>
          <w:sz w:val="28"/>
          <w:szCs w:val="28"/>
          <w:highlight w:val="none"/>
          <w:u w:val="single"/>
        </w:rPr>
        <w:t xml:space="preserve">                    </w:t>
      </w:r>
    </w:p>
    <w:p>
      <w:pPr>
        <w:widowControl/>
        <w:spacing w:line="360" w:lineRule="auto"/>
        <w:rPr>
          <w:color w:val="auto"/>
          <w:sz w:val="28"/>
          <w:szCs w:val="28"/>
          <w:highlight w:val="none"/>
        </w:rPr>
      </w:pPr>
      <w:r>
        <w:rPr>
          <w:color w:val="auto"/>
          <w:sz w:val="28"/>
          <w:szCs w:val="28"/>
          <w:highlight w:val="none"/>
        </w:rPr>
        <w:t xml:space="preserve"> </w:t>
      </w:r>
    </w:p>
    <w:p>
      <w:pPr>
        <w:widowControl/>
        <w:spacing w:line="360" w:lineRule="auto"/>
        <w:ind w:firstLine="280" w:firstLineChars="100"/>
        <w:rPr>
          <w:color w:val="auto"/>
          <w:sz w:val="28"/>
          <w:szCs w:val="28"/>
          <w:highlight w:val="none"/>
        </w:rPr>
      </w:pPr>
      <w:r>
        <w:rPr>
          <w:color w:val="auto"/>
          <w:sz w:val="28"/>
          <w:szCs w:val="28"/>
          <w:highlight w:val="none"/>
        </w:rPr>
        <w:t>授权人： (签字)                    授权代表:(签字)</w:t>
      </w:r>
    </w:p>
    <w:p>
      <w:pPr>
        <w:widowControl/>
        <w:spacing w:line="360" w:lineRule="auto"/>
        <w:rPr>
          <w:color w:val="auto"/>
          <w:sz w:val="28"/>
          <w:szCs w:val="28"/>
          <w:highlight w:val="none"/>
        </w:rPr>
      </w:pPr>
      <w:r>
        <w:rPr>
          <w:color w:val="auto"/>
          <w:sz w:val="28"/>
          <w:szCs w:val="28"/>
          <w:highlight w:val="none"/>
        </w:rPr>
        <w:t xml:space="preserve">               </w:t>
      </w:r>
    </w:p>
    <w:p>
      <w:pPr>
        <w:widowControl/>
        <w:spacing w:line="360" w:lineRule="auto"/>
        <w:rPr>
          <w:rFonts w:hint="eastAsia"/>
          <w:color w:val="auto"/>
          <w:sz w:val="28"/>
          <w:szCs w:val="28"/>
          <w:highlight w:val="none"/>
        </w:rPr>
      </w:pPr>
      <w:r>
        <w:rPr>
          <w:color w:val="auto"/>
          <w:sz w:val="28"/>
          <w:szCs w:val="28"/>
          <w:highlight w:val="none"/>
        </w:rPr>
        <w:t xml:space="preserve"> 日期:      年    月    日         日期:      年    月    日</w:t>
      </w:r>
    </w:p>
    <w:p>
      <w:pPr>
        <w:snapToGrid w:val="0"/>
        <w:spacing w:beforeLines="50" w:after="50"/>
        <w:rPr>
          <w:rFonts w:hint="eastAsia" w:ascii="宋体" w:hAnsi="宋体"/>
          <w:color w:val="auto"/>
          <w:sz w:val="24"/>
          <w:highlight w:val="none"/>
        </w:rPr>
      </w:pPr>
    </w:p>
    <w:p>
      <w:pPr>
        <w:rPr>
          <w:rFonts w:hint="eastAsia" w:ascii="新宋体" w:hAnsi="新宋体" w:eastAsia="新宋体"/>
          <w:b/>
          <w:bCs/>
          <w:color w:val="auto"/>
          <w:sz w:val="24"/>
          <w:highlight w:val="none"/>
        </w:rPr>
      </w:pPr>
    </w:p>
    <w:p>
      <w:pPr>
        <w:rPr>
          <w:rFonts w:hint="eastAsia" w:ascii="新宋体" w:hAnsi="新宋体" w:eastAsia="新宋体"/>
          <w:b/>
          <w:bCs/>
          <w:color w:val="auto"/>
          <w:sz w:val="24"/>
          <w:highlight w:val="none"/>
        </w:rPr>
      </w:pPr>
    </w:p>
    <w:p>
      <w:pPr>
        <w:rPr>
          <w:rFonts w:hint="eastAsia" w:ascii="新宋体" w:hAnsi="新宋体" w:eastAsia="新宋体"/>
          <w:b/>
          <w:bCs/>
          <w:color w:val="auto"/>
          <w:sz w:val="24"/>
          <w:highlight w:val="none"/>
        </w:rPr>
      </w:pPr>
    </w:p>
    <w:p>
      <w:pPr>
        <w:rPr>
          <w:rFonts w:hint="eastAsia" w:ascii="新宋体" w:hAnsi="新宋体" w:eastAsia="新宋体"/>
          <w:b/>
          <w:bCs/>
          <w:color w:val="auto"/>
          <w:sz w:val="24"/>
          <w:highlight w:val="none"/>
        </w:rPr>
      </w:pPr>
    </w:p>
    <w:p>
      <w:pPr>
        <w:rPr>
          <w:rFonts w:hint="eastAsia" w:ascii="新宋体" w:hAnsi="新宋体" w:eastAsia="新宋体"/>
          <w:b/>
          <w:bCs/>
          <w:color w:val="auto"/>
          <w:sz w:val="24"/>
          <w:highlight w:val="none"/>
        </w:rPr>
      </w:pPr>
    </w:p>
    <w:p>
      <w:pPr>
        <w:spacing w:line="360" w:lineRule="auto"/>
        <w:jc w:val="left"/>
        <w:rPr>
          <w:rFonts w:ascii="宋体" w:hAnsi="宋体"/>
          <w:bCs/>
          <w:color w:val="auto"/>
          <w:sz w:val="28"/>
          <w:szCs w:val="28"/>
          <w:highlight w:val="none"/>
        </w:rPr>
      </w:pPr>
      <w:r>
        <w:rPr>
          <w:rFonts w:hint="eastAsia" w:ascii="宋体" w:hAnsi="宋体"/>
          <w:color w:val="auto"/>
          <w:sz w:val="24"/>
          <w:szCs w:val="20"/>
          <w:highlight w:val="none"/>
        </w:rPr>
        <w:t>后附：投标人代表身份证复印件</w:t>
      </w:r>
    </w:p>
    <w:p>
      <w:pPr>
        <w:spacing w:line="360" w:lineRule="auto"/>
        <w:jc w:val="left"/>
        <w:rPr>
          <w:rFonts w:ascii="宋体" w:hAnsi="宋体"/>
          <w:bCs/>
          <w:color w:val="auto"/>
          <w:sz w:val="28"/>
          <w:szCs w:val="28"/>
          <w:highlight w:val="none"/>
        </w:rPr>
      </w:pPr>
    </w:p>
    <w:p>
      <w:pPr>
        <w:pStyle w:val="2"/>
        <w:rPr>
          <w:rFonts w:ascii="宋体" w:hAnsi="宋体"/>
          <w:bCs/>
          <w:color w:val="auto"/>
          <w:sz w:val="28"/>
          <w:szCs w:val="28"/>
          <w:highlight w:val="none"/>
        </w:rPr>
      </w:pPr>
    </w:p>
    <w:p>
      <w:pPr>
        <w:pStyle w:val="2"/>
        <w:rPr>
          <w:rFonts w:ascii="宋体" w:hAnsi="宋体"/>
          <w:bCs/>
          <w:color w:val="auto"/>
          <w:sz w:val="28"/>
          <w:szCs w:val="28"/>
          <w:highlight w:val="none"/>
        </w:rPr>
      </w:pPr>
    </w:p>
    <w:p>
      <w:pPr>
        <w:spacing w:line="360" w:lineRule="auto"/>
        <w:jc w:val="left"/>
        <w:rPr>
          <w:rFonts w:hint="eastAsia" w:ascii="宋体" w:hAnsi="宋体"/>
          <w:bCs/>
          <w:color w:val="auto"/>
          <w:sz w:val="28"/>
          <w:szCs w:val="28"/>
          <w:highlight w:val="none"/>
        </w:rPr>
      </w:pPr>
    </w:p>
    <w:p>
      <w:pPr>
        <w:spacing w:line="360" w:lineRule="auto"/>
        <w:jc w:val="left"/>
        <w:rPr>
          <w:rFonts w:ascii="宋体" w:hAnsi="宋体"/>
          <w:bCs/>
          <w:color w:val="auto"/>
          <w:sz w:val="28"/>
          <w:szCs w:val="28"/>
          <w:highlight w:val="none"/>
        </w:rPr>
      </w:pPr>
      <w:r>
        <w:rPr>
          <w:rFonts w:hint="eastAsia" w:ascii="宋体" w:hAnsi="宋体"/>
          <w:bCs/>
          <w:color w:val="auto"/>
          <w:sz w:val="28"/>
          <w:szCs w:val="28"/>
          <w:highlight w:val="none"/>
        </w:rPr>
        <w:t>表五</w:t>
      </w:r>
    </w:p>
    <w:p>
      <w:pPr>
        <w:autoSpaceDE w:val="0"/>
        <w:autoSpaceDN w:val="0"/>
        <w:adjustRightInd w:val="0"/>
        <w:snapToGrid w:val="0"/>
        <w:spacing w:line="360" w:lineRule="auto"/>
        <w:ind w:firstLine="2940" w:firstLineChars="1050"/>
        <w:rPr>
          <w:rFonts w:ascii="宋体" w:hAnsi="宋体"/>
          <w:color w:val="auto"/>
          <w:sz w:val="28"/>
          <w:szCs w:val="28"/>
          <w:highlight w:val="none"/>
        </w:rPr>
      </w:pPr>
      <w:r>
        <w:rPr>
          <w:rFonts w:hint="eastAsia" w:ascii="宋体" w:hAnsi="宋体"/>
          <w:color w:val="auto"/>
          <w:sz w:val="28"/>
          <w:szCs w:val="28"/>
          <w:highlight w:val="none"/>
        </w:rPr>
        <w:t>拟派项目负责人基本情况表</w:t>
      </w:r>
    </w:p>
    <w:p>
      <w:pPr>
        <w:tabs>
          <w:tab w:val="left" w:pos="720"/>
          <w:tab w:val="left" w:pos="900"/>
        </w:tabs>
        <w:spacing w:line="360" w:lineRule="auto"/>
        <w:jc w:val="left"/>
        <w:rPr>
          <w:rFonts w:ascii="宋体" w:hAnsi="宋体"/>
          <w:color w:val="auto"/>
          <w:sz w:val="28"/>
          <w:szCs w:val="28"/>
          <w:highlight w:val="none"/>
          <w:u w:val="single"/>
        </w:rPr>
      </w:pPr>
      <w:r>
        <w:rPr>
          <w:rFonts w:hint="eastAsia" w:ascii="宋体" w:hAnsi="宋体"/>
          <w:bCs/>
          <w:color w:val="auto"/>
          <w:sz w:val="28"/>
          <w:szCs w:val="28"/>
          <w:highlight w:val="none"/>
        </w:rPr>
        <w:t xml:space="preserve">投标方名称（盖章）：  </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9"/>
        <w:gridCol w:w="736"/>
        <w:gridCol w:w="368"/>
        <w:gridCol w:w="1838"/>
        <w:gridCol w:w="228"/>
        <w:gridCol w:w="1115"/>
        <w:gridCol w:w="1281"/>
        <w:gridCol w:w="430"/>
        <w:gridCol w:w="2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79" w:type="dxa"/>
            <w:vAlign w:val="center"/>
          </w:tcPr>
          <w:p>
            <w:pPr>
              <w:jc w:val="center"/>
              <w:rPr>
                <w:snapToGrid w:val="0"/>
                <w:color w:val="auto"/>
                <w:highlight w:val="none"/>
              </w:rPr>
            </w:pPr>
            <w:r>
              <w:rPr>
                <w:rFonts w:hint="eastAsia"/>
                <w:snapToGrid w:val="0"/>
                <w:color w:val="auto"/>
                <w:highlight w:val="none"/>
              </w:rPr>
              <w:t>姓名</w:t>
            </w:r>
          </w:p>
        </w:tc>
        <w:tc>
          <w:tcPr>
            <w:tcW w:w="1104" w:type="dxa"/>
            <w:gridSpan w:val="2"/>
            <w:vAlign w:val="center"/>
          </w:tcPr>
          <w:p>
            <w:pPr>
              <w:jc w:val="center"/>
              <w:rPr>
                <w:snapToGrid w:val="0"/>
                <w:color w:val="auto"/>
                <w:highlight w:val="none"/>
              </w:rPr>
            </w:pPr>
          </w:p>
        </w:tc>
        <w:tc>
          <w:tcPr>
            <w:tcW w:w="1838" w:type="dxa"/>
            <w:vAlign w:val="center"/>
          </w:tcPr>
          <w:p>
            <w:pPr>
              <w:jc w:val="center"/>
              <w:rPr>
                <w:snapToGrid w:val="0"/>
                <w:color w:val="auto"/>
                <w:highlight w:val="none"/>
              </w:rPr>
            </w:pPr>
            <w:r>
              <w:rPr>
                <w:rFonts w:hint="eastAsia"/>
                <w:snapToGrid w:val="0"/>
                <w:color w:val="auto"/>
                <w:highlight w:val="none"/>
              </w:rPr>
              <w:t>性别</w:t>
            </w:r>
          </w:p>
        </w:tc>
        <w:tc>
          <w:tcPr>
            <w:tcW w:w="1343" w:type="dxa"/>
            <w:gridSpan w:val="2"/>
            <w:vAlign w:val="center"/>
          </w:tcPr>
          <w:p>
            <w:pPr>
              <w:jc w:val="center"/>
              <w:rPr>
                <w:snapToGrid w:val="0"/>
                <w:color w:val="auto"/>
                <w:highlight w:val="none"/>
              </w:rPr>
            </w:pPr>
          </w:p>
        </w:tc>
        <w:tc>
          <w:tcPr>
            <w:tcW w:w="1711" w:type="dxa"/>
            <w:gridSpan w:val="2"/>
            <w:vAlign w:val="center"/>
          </w:tcPr>
          <w:p>
            <w:pPr>
              <w:jc w:val="center"/>
              <w:rPr>
                <w:snapToGrid w:val="0"/>
                <w:color w:val="auto"/>
                <w:highlight w:val="none"/>
              </w:rPr>
            </w:pPr>
            <w:r>
              <w:rPr>
                <w:rFonts w:hint="eastAsia"/>
                <w:snapToGrid w:val="0"/>
                <w:color w:val="auto"/>
                <w:highlight w:val="none"/>
              </w:rPr>
              <w:t>年龄</w:t>
            </w:r>
          </w:p>
        </w:tc>
        <w:tc>
          <w:tcPr>
            <w:tcW w:w="2039" w:type="dxa"/>
            <w:vAlign w:val="center"/>
          </w:tcPr>
          <w:p>
            <w:pPr>
              <w:jc w:val="cente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79" w:type="dxa"/>
            <w:vAlign w:val="center"/>
          </w:tcPr>
          <w:p>
            <w:pPr>
              <w:jc w:val="center"/>
              <w:rPr>
                <w:snapToGrid w:val="0"/>
                <w:color w:val="auto"/>
                <w:highlight w:val="none"/>
              </w:rPr>
            </w:pPr>
            <w:r>
              <w:rPr>
                <w:rFonts w:hint="eastAsia"/>
                <w:snapToGrid w:val="0"/>
                <w:color w:val="auto"/>
                <w:highlight w:val="none"/>
              </w:rPr>
              <w:t>职务</w:t>
            </w:r>
          </w:p>
        </w:tc>
        <w:tc>
          <w:tcPr>
            <w:tcW w:w="1104" w:type="dxa"/>
            <w:gridSpan w:val="2"/>
            <w:vAlign w:val="center"/>
          </w:tcPr>
          <w:p>
            <w:pPr>
              <w:jc w:val="center"/>
              <w:rPr>
                <w:snapToGrid w:val="0"/>
                <w:color w:val="auto"/>
                <w:highlight w:val="none"/>
              </w:rPr>
            </w:pPr>
          </w:p>
        </w:tc>
        <w:tc>
          <w:tcPr>
            <w:tcW w:w="1838" w:type="dxa"/>
            <w:vAlign w:val="center"/>
          </w:tcPr>
          <w:p>
            <w:pPr>
              <w:jc w:val="center"/>
              <w:rPr>
                <w:snapToGrid w:val="0"/>
                <w:color w:val="auto"/>
                <w:highlight w:val="none"/>
              </w:rPr>
            </w:pPr>
            <w:r>
              <w:rPr>
                <w:rFonts w:hint="eastAsia"/>
                <w:snapToGrid w:val="0"/>
                <w:color w:val="auto"/>
                <w:highlight w:val="none"/>
              </w:rPr>
              <w:t>职称</w:t>
            </w:r>
          </w:p>
        </w:tc>
        <w:tc>
          <w:tcPr>
            <w:tcW w:w="1343" w:type="dxa"/>
            <w:gridSpan w:val="2"/>
            <w:vAlign w:val="center"/>
          </w:tcPr>
          <w:p>
            <w:pPr>
              <w:ind w:firstLine="420" w:firstLineChars="200"/>
              <w:rPr>
                <w:snapToGrid w:val="0"/>
                <w:color w:val="auto"/>
                <w:highlight w:val="none"/>
              </w:rPr>
            </w:pPr>
          </w:p>
        </w:tc>
        <w:tc>
          <w:tcPr>
            <w:tcW w:w="1711" w:type="dxa"/>
            <w:gridSpan w:val="2"/>
            <w:vAlign w:val="center"/>
          </w:tcPr>
          <w:p>
            <w:pPr>
              <w:jc w:val="center"/>
              <w:rPr>
                <w:snapToGrid w:val="0"/>
                <w:color w:val="auto"/>
                <w:highlight w:val="none"/>
              </w:rPr>
            </w:pPr>
            <w:r>
              <w:rPr>
                <w:rFonts w:hint="eastAsia"/>
                <w:snapToGrid w:val="0"/>
                <w:color w:val="auto"/>
                <w:highlight w:val="none"/>
              </w:rPr>
              <w:t>学历</w:t>
            </w:r>
          </w:p>
        </w:tc>
        <w:tc>
          <w:tcPr>
            <w:tcW w:w="2039" w:type="dxa"/>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79" w:type="dxa"/>
            <w:vAlign w:val="center"/>
          </w:tcPr>
          <w:p>
            <w:pPr>
              <w:jc w:val="center"/>
              <w:rPr>
                <w:snapToGrid w:val="0"/>
                <w:color w:val="auto"/>
                <w:highlight w:val="none"/>
              </w:rPr>
            </w:pPr>
            <w:r>
              <w:rPr>
                <w:rFonts w:hint="eastAsia"/>
                <w:snapToGrid w:val="0"/>
                <w:color w:val="auto"/>
                <w:highlight w:val="none"/>
              </w:rPr>
              <w:t>参加工作时间</w:t>
            </w:r>
          </w:p>
        </w:tc>
        <w:tc>
          <w:tcPr>
            <w:tcW w:w="1104" w:type="dxa"/>
            <w:gridSpan w:val="2"/>
            <w:vAlign w:val="center"/>
          </w:tcPr>
          <w:p>
            <w:pPr>
              <w:rPr>
                <w:snapToGrid w:val="0"/>
                <w:color w:val="auto"/>
                <w:highlight w:val="none"/>
              </w:rPr>
            </w:pPr>
          </w:p>
        </w:tc>
        <w:tc>
          <w:tcPr>
            <w:tcW w:w="1838" w:type="dxa"/>
            <w:vAlign w:val="center"/>
          </w:tcPr>
          <w:p>
            <w:pPr>
              <w:jc w:val="center"/>
              <w:rPr>
                <w:snapToGrid w:val="0"/>
                <w:color w:val="auto"/>
                <w:highlight w:val="none"/>
              </w:rPr>
            </w:pPr>
            <w:r>
              <w:rPr>
                <w:rFonts w:hint="eastAsia"/>
                <w:snapToGrid w:val="0"/>
                <w:color w:val="auto"/>
                <w:highlight w:val="none"/>
              </w:rPr>
              <w:t>拟担任本</w:t>
            </w:r>
          </w:p>
          <w:p>
            <w:pPr>
              <w:jc w:val="center"/>
              <w:rPr>
                <w:snapToGrid w:val="0"/>
                <w:color w:val="auto"/>
                <w:highlight w:val="none"/>
              </w:rPr>
            </w:pPr>
            <w:r>
              <w:rPr>
                <w:rFonts w:hint="eastAsia"/>
                <w:snapToGrid w:val="0"/>
                <w:color w:val="auto"/>
                <w:highlight w:val="none"/>
              </w:rPr>
              <w:t>项目职务</w:t>
            </w:r>
          </w:p>
        </w:tc>
        <w:tc>
          <w:tcPr>
            <w:tcW w:w="1343" w:type="dxa"/>
            <w:gridSpan w:val="2"/>
            <w:vAlign w:val="center"/>
          </w:tcPr>
          <w:p>
            <w:pPr>
              <w:rPr>
                <w:snapToGrid w:val="0"/>
                <w:color w:val="auto"/>
                <w:highlight w:val="none"/>
              </w:rPr>
            </w:pPr>
          </w:p>
        </w:tc>
        <w:tc>
          <w:tcPr>
            <w:tcW w:w="1711" w:type="dxa"/>
            <w:gridSpan w:val="2"/>
            <w:vAlign w:val="center"/>
          </w:tcPr>
          <w:p>
            <w:pPr>
              <w:jc w:val="center"/>
              <w:rPr>
                <w:snapToGrid w:val="0"/>
                <w:color w:val="auto"/>
                <w:highlight w:val="none"/>
              </w:rPr>
            </w:pPr>
            <w:r>
              <w:rPr>
                <w:rFonts w:hint="eastAsia"/>
                <w:snapToGrid w:val="0"/>
                <w:color w:val="auto"/>
                <w:highlight w:val="none"/>
              </w:rPr>
              <w:t>从事项目负责人年限</w:t>
            </w:r>
          </w:p>
        </w:tc>
        <w:tc>
          <w:tcPr>
            <w:tcW w:w="2039" w:type="dxa"/>
            <w:vAlign w:val="center"/>
          </w:tcPr>
          <w:p>
            <w:pPr>
              <w:ind w:firstLine="840" w:firstLineChars="400"/>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014" w:type="dxa"/>
            <w:gridSpan w:val="9"/>
            <w:vAlign w:val="center"/>
          </w:tcPr>
          <w:p>
            <w:pPr>
              <w:jc w:val="center"/>
              <w:rPr>
                <w:snapToGrid w:val="0"/>
                <w:color w:val="auto"/>
                <w:highlight w:val="none"/>
              </w:rPr>
            </w:pPr>
            <w:r>
              <w:rPr>
                <w:rFonts w:hint="eastAsia"/>
                <w:snapToGrid w:val="0"/>
                <w:color w:val="auto"/>
                <w:highlight w:val="none"/>
              </w:rPr>
              <w:t>已完成工程项目情况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jc w:val="center"/>
              <w:rPr>
                <w:snapToGrid w:val="0"/>
                <w:color w:val="auto"/>
                <w:highlight w:val="none"/>
              </w:rPr>
            </w:pPr>
            <w:r>
              <w:rPr>
                <w:rFonts w:hint="eastAsia"/>
                <w:snapToGrid w:val="0"/>
                <w:color w:val="auto"/>
                <w:highlight w:val="none"/>
              </w:rPr>
              <w:t>项目名称</w:t>
            </w:r>
          </w:p>
        </w:tc>
        <w:tc>
          <w:tcPr>
            <w:tcW w:w="2434" w:type="dxa"/>
            <w:gridSpan w:val="3"/>
            <w:vAlign w:val="center"/>
          </w:tcPr>
          <w:p>
            <w:pPr>
              <w:jc w:val="center"/>
              <w:rPr>
                <w:snapToGrid w:val="0"/>
                <w:color w:val="auto"/>
                <w:highlight w:val="none"/>
              </w:rPr>
            </w:pPr>
            <w:r>
              <w:rPr>
                <w:rFonts w:hint="eastAsia"/>
                <w:snapToGrid w:val="0"/>
                <w:color w:val="auto"/>
                <w:highlight w:val="none"/>
              </w:rPr>
              <w:t>项目概况</w:t>
            </w:r>
          </w:p>
        </w:tc>
        <w:tc>
          <w:tcPr>
            <w:tcW w:w="2396" w:type="dxa"/>
            <w:gridSpan w:val="2"/>
            <w:vAlign w:val="center"/>
          </w:tcPr>
          <w:p>
            <w:pPr>
              <w:jc w:val="center"/>
              <w:rPr>
                <w:snapToGrid w:val="0"/>
                <w:color w:val="auto"/>
                <w:highlight w:val="none"/>
              </w:rPr>
            </w:pPr>
            <w:r>
              <w:rPr>
                <w:rFonts w:hint="eastAsia"/>
                <w:snapToGrid w:val="0"/>
                <w:color w:val="auto"/>
                <w:highlight w:val="none"/>
              </w:rPr>
              <w:t>合同签订时间</w:t>
            </w:r>
          </w:p>
        </w:tc>
        <w:tc>
          <w:tcPr>
            <w:tcW w:w="2469" w:type="dxa"/>
            <w:gridSpan w:val="2"/>
            <w:vAlign w:val="center"/>
          </w:tcPr>
          <w:p>
            <w:pPr>
              <w:jc w:val="center"/>
              <w:rPr>
                <w:snapToGrid w:val="0"/>
                <w:color w:val="auto"/>
                <w:highlight w:val="none"/>
              </w:rPr>
            </w:pPr>
            <w:r>
              <w:rPr>
                <w:rFonts w:hint="eastAsia"/>
                <w:snapToGrid w:val="0"/>
                <w:color w:val="auto"/>
                <w:highlight w:val="none"/>
              </w:rPr>
              <w:t>负担的技术职务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jc w:val="left"/>
              <w:rPr>
                <w:rFonts w:ascii="宋体" w:hAnsi="宋体"/>
                <w:snapToGrid w:val="0"/>
                <w:color w:val="auto"/>
                <w:highlight w:val="none"/>
              </w:rPr>
            </w:pPr>
          </w:p>
        </w:tc>
        <w:tc>
          <w:tcPr>
            <w:tcW w:w="2434" w:type="dxa"/>
            <w:gridSpan w:val="3"/>
            <w:vAlign w:val="center"/>
          </w:tcPr>
          <w:p>
            <w:pPr>
              <w:jc w:val="left"/>
              <w:rPr>
                <w:rFonts w:ascii="宋体" w:hAnsi="宋体"/>
                <w:snapToGrid w:val="0"/>
                <w:color w:val="auto"/>
                <w:highlight w:val="none"/>
              </w:rPr>
            </w:pPr>
          </w:p>
        </w:tc>
        <w:tc>
          <w:tcPr>
            <w:tcW w:w="2396" w:type="dxa"/>
            <w:gridSpan w:val="2"/>
            <w:vAlign w:val="center"/>
          </w:tcPr>
          <w:p>
            <w:pPr>
              <w:jc w:val="left"/>
              <w:rPr>
                <w:rFonts w:ascii="宋体" w:hAnsi="宋体"/>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jc w:val="left"/>
              <w:rPr>
                <w:rFonts w:ascii="宋体" w:hAnsi="宋体"/>
                <w:snapToGrid w:val="0"/>
                <w:color w:val="auto"/>
                <w:highlight w:val="none"/>
              </w:rPr>
            </w:pPr>
          </w:p>
        </w:tc>
        <w:tc>
          <w:tcPr>
            <w:tcW w:w="2434" w:type="dxa"/>
            <w:gridSpan w:val="3"/>
            <w:vAlign w:val="center"/>
          </w:tcPr>
          <w:p>
            <w:pPr>
              <w:jc w:val="left"/>
              <w:rPr>
                <w:rFonts w:ascii="宋体" w:hAnsi="宋体"/>
                <w:snapToGrid w:val="0"/>
                <w:color w:val="auto"/>
                <w:highlight w:val="none"/>
              </w:rPr>
            </w:pPr>
          </w:p>
        </w:tc>
        <w:tc>
          <w:tcPr>
            <w:tcW w:w="2396" w:type="dxa"/>
            <w:gridSpan w:val="2"/>
            <w:vAlign w:val="center"/>
          </w:tcPr>
          <w:p>
            <w:pPr>
              <w:jc w:val="left"/>
              <w:rPr>
                <w:rFonts w:ascii="宋体" w:hAnsi="宋体"/>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jc w:val="left"/>
              <w:rPr>
                <w:rFonts w:ascii="宋体" w:hAnsi="宋体"/>
                <w:snapToGrid w:val="0"/>
                <w:color w:val="auto"/>
                <w:highlight w:val="none"/>
              </w:rPr>
            </w:pPr>
          </w:p>
        </w:tc>
        <w:tc>
          <w:tcPr>
            <w:tcW w:w="2434" w:type="dxa"/>
            <w:gridSpan w:val="3"/>
            <w:vAlign w:val="center"/>
          </w:tcPr>
          <w:p>
            <w:pPr>
              <w:jc w:val="left"/>
              <w:rPr>
                <w:rFonts w:ascii="宋体" w:hAnsi="宋体"/>
                <w:snapToGrid w:val="0"/>
                <w:color w:val="auto"/>
                <w:highlight w:val="none"/>
              </w:rPr>
            </w:pPr>
          </w:p>
        </w:tc>
        <w:tc>
          <w:tcPr>
            <w:tcW w:w="2396" w:type="dxa"/>
            <w:gridSpan w:val="2"/>
            <w:vAlign w:val="center"/>
          </w:tcPr>
          <w:p>
            <w:pPr>
              <w:jc w:val="left"/>
              <w:rPr>
                <w:rFonts w:ascii="宋体" w:hAnsi="宋体"/>
                <w:snapToGrid w:val="0"/>
                <w:color w:val="auto"/>
                <w:highlight w:val="none"/>
              </w:rPr>
            </w:pPr>
          </w:p>
        </w:tc>
        <w:tc>
          <w:tcPr>
            <w:tcW w:w="2469" w:type="dxa"/>
            <w:gridSpan w:val="2"/>
            <w:vAlign w:val="center"/>
          </w:tcPr>
          <w:p>
            <w:pPr>
              <w:jc w:val="cente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jc w:val="left"/>
              <w:rPr>
                <w:rFonts w:ascii="宋体" w:hAnsi="宋体"/>
                <w:snapToGrid w:val="0"/>
                <w:color w:val="auto"/>
                <w:highlight w:val="none"/>
              </w:rPr>
            </w:pPr>
          </w:p>
        </w:tc>
        <w:tc>
          <w:tcPr>
            <w:tcW w:w="2434" w:type="dxa"/>
            <w:gridSpan w:val="3"/>
            <w:vAlign w:val="center"/>
          </w:tcPr>
          <w:p>
            <w:pPr>
              <w:jc w:val="left"/>
              <w:rPr>
                <w:rFonts w:ascii="宋体" w:hAnsi="宋体"/>
                <w:snapToGrid w:val="0"/>
                <w:color w:val="auto"/>
                <w:highlight w:val="none"/>
              </w:rPr>
            </w:pPr>
          </w:p>
        </w:tc>
        <w:tc>
          <w:tcPr>
            <w:tcW w:w="2396" w:type="dxa"/>
            <w:gridSpan w:val="2"/>
            <w:vAlign w:val="center"/>
          </w:tcPr>
          <w:p>
            <w:pPr>
              <w:jc w:val="left"/>
              <w:rPr>
                <w:rFonts w:ascii="宋体" w:hAnsi="宋体"/>
                <w:snapToGrid w:val="0"/>
                <w:color w:val="auto"/>
                <w:highlight w:val="none"/>
              </w:rPr>
            </w:pPr>
          </w:p>
        </w:tc>
        <w:tc>
          <w:tcPr>
            <w:tcW w:w="2469" w:type="dxa"/>
            <w:gridSpan w:val="2"/>
            <w:vAlign w:val="center"/>
          </w:tcPr>
          <w:p>
            <w:pPr>
              <w:jc w:val="cente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15" w:type="dxa"/>
            <w:gridSpan w:val="2"/>
            <w:vAlign w:val="center"/>
          </w:tcPr>
          <w:p>
            <w:pPr>
              <w:rPr>
                <w:snapToGrid w:val="0"/>
                <w:color w:val="auto"/>
                <w:highlight w:val="none"/>
              </w:rPr>
            </w:pPr>
          </w:p>
        </w:tc>
        <w:tc>
          <w:tcPr>
            <w:tcW w:w="2434" w:type="dxa"/>
            <w:gridSpan w:val="3"/>
            <w:vAlign w:val="center"/>
          </w:tcPr>
          <w:p>
            <w:pPr>
              <w:rPr>
                <w:snapToGrid w:val="0"/>
                <w:color w:val="auto"/>
                <w:highlight w:val="none"/>
              </w:rPr>
            </w:pPr>
          </w:p>
        </w:tc>
        <w:tc>
          <w:tcPr>
            <w:tcW w:w="2396" w:type="dxa"/>
            <w:gridSpan w:val="2"/>
            <w:vAlign w:val="center"/>
          </w:tcPr>
          <w:p>
            <w:pPr>
              <w:rPr>
                <w:snapToGrid w:val="0"/>
                <w:color w:val="auto"/>
                <w:highlight w:val="none"/>
              </w:rPr>
            </w:pPr>
          </w:p>
        </w:tc>
        <w:tc>
          <w:tcPr>
            <w:tcW w:w="2469" w:type="dxa"/>
            <w:gridSpan w:val="2"/>
            <w:vAlign w:val="center"/>
          </w:tcPr>
          <w:p>
            <w:pPr>
              <w:rPr>
                <w:snapToGrid w:val="0"/>
                <w:color w:val="auto"/>
                <w:highlight w:val="none"/>
              </w:rPr>
            </w:pPr>
          </w:p>
        </w:tc>
      </w:tr>
    </w:tbl>
    <w:p>
      <w:pPr>
        <w:tabs>
          <w:tab w:val="left" w:pos="720"/>
          <w:tab w:val="left" w:pos="900"/>
        </w:tabs>
        <w:spacing w:line="360" w:lineRule="auto"/>
        <w:rPr>
          <w:rFonts w:ascii="宋体" w:hAnsi="宋体"/>
          <w:color w:val="auto"/>
          <w:sz w:val="28"/>
          <w:szCs w:val="28"/>
          <w:highlight w:val="none"/>
        </w:rPr>
      </w:pPr>
    </w:p>
    <w:p>
      <w:pPr>
        <w:tabs>
          <w:tab w:val="left" w:pos="720"/>
          <w:tab w:val="left" w:pos="900"/>
        </w:tabs>
        <w:spacing w:line="360" w:lineRule="auto"/>
        <w:rPr>
          <w:rFonts w:ascii="宋体" w:hAnsi="宋体"/>
          <w:color w:val="auto"/>
          <w:sz w:val="28"/>
          <w:szCs w:val="28"/>
          <w:highlight w:val="none"/>
        </w:rPr>
      </w:pPr>
    </w:p>
    <w:p>
      <w:pPr>
        <w:spacing w:line="360" w:lineRule="auto"/>
        <w:rPr>
          <w:rFonts w:ascii="宋体" w:hAnsi="宋体"/>
          <w:bCs/>
          <w:color w:val="auto"/>
          <w:sz w:val="28"/>
          <w:szCs w:val="28"/>
          <w:highlight w:val="none"/>
        </w:rPr>
      </w:pPr>
      <w:r>
        <w:rPr>
          <w:rFonts w:hint="eastAsia" w:ascii="宋体" w:hAnsi="宋体"/>
          <w:color w:val="auto"/>
          <w:kern w:val="0"/>
          <w:sz w:val="28"/>
          <w:szCs w:val="28"/>
          <w:highlight w:val="none"/>
        </w:rPr>
        <w:t>备注： 1、</w:t>
      </w:r>
      <w:r>
        <w:rPr>
          <w:rFonts w:hint="eastAsia" w:ascii="宋体" w:hAnsi="宋体" w:cs="宋体"/>
          <w:color w:val="auto"/>
          <w:kern w:val="0"/>
          <w:sz w:val="28"/>
          <w:szCs w:val="28"/>
          <w:highlight w:val="none"/>
        </w:rPr>
        <w:t>投标人随此表附上职称证书、造价师注册证书复印件、</w:t>
      </w:r>
      <w:r>
        <w:rPr>
          <w:rFonts w:hint="eastAsia"/>
          <w:color w:val="auto"/>
          <w:sz w:val="28"/>
          <w:szCs w:val="28"/>
          <w:highlight w:val="none"/>
        </w:rPr>
        <w:t>劳动合同、缴纳社会保险（公告日之后）。</w:t>
      </w:r>
    </w:p>
    <w:p>
      <w:pPr>
        <w:numPr>
          <w:ilvl w:val="0"/>
          <w:numId w:val="2"/>
        </w:numPr>
        <w:spacing w:line="360" w:lineRule="auto"/>
        <w:ind w:firstLine="980" w:firstLineChars="350"/>
        <w:rPr>
          <w:rFonts w:ascii="宋体" w:hAnsi="宋体"/>
          <w:bCs/>
          <w:color w:val="auto"/>
          <w:sz w:val="28"/>
          <w:szCs w:val="28"/>
          <w:highlight w:val="none"/>
        </w:rPr>
      </w:pPr>
      <w:r>
        <w:rPr>
          <w:rFonts w:hint="eastAsia" w:ascii="宋体" w:hAnsi="宋体"/>
          <w:bCs/>
          <w:color w:val="auto"/>
          <w:sz w:val="28"/>
          <w:szCs w:val="28"/>
          <w:highlight w:val="none"/>
        </w:rPr>
        <w:t>此表在不改变表式的情况下，可自行制作。</w:t>
      </w:r>
    </w:p>
    <w:p>
      <w:pPr>
        <w:spacing w:line="360" w:lineRule="auto"/>
        <w:rPr>
          <w:rFonts w:ascii="宋体" w:hAnsi="宋体"/>
          <w:bCs/>
          <w:color w:val="auto"/>
          <w:sz w:val="28"/>
          <w:szCs w:val="28"/>
          <w:highlight w:val="none"/>
        </w:rPr>
      </w:pPr>
    </w:p>
    <w:p>
      <w:pPr>
        <w:spacing w:line="360" w:lineRule="auto"/>
        <w:ind w:right="140"/>
        <w:jc w:val="right"/>
        <w:rPr>
          <w:rFonts w:ascii="宋体" w:hAnsi="宋体"/>
          <w:bCs/>
          <w:color w:val="auto"/>
          <w:sz w:val="28"/>
          <w:szCs w:val="28"/>
          <w:highlight w:val="none"/>
        </w:rPr>
      </w:pPr>
    </w:p>
    <w:p>
      <w:pPr>
        <w:spacing w:line="360" w:lineRule="auto"/>
        <w:ind w:right="140"/>
        <w:jc w:val="left"/>
        <w:rPr>
          <w:rFonts w:ascii="宋体" w:hAnsi="宋体"/>
          <w:bCs/>
          <w:color w:val="auto"/>
          <w:sz w:val="28"/>
          <w:szCs w:val="28"/>
          <w:highlight w:val="none"/>
        </w:rPr>
      </w:pPr>
    </w:p>
    <w:p>
      <w:pPr>
        <w:spacing w:line="360" w:lineRule="auto"/>
        <w:ind w:right="140"/>
        <w:jc w:val="left"/>
        <w:rPr>
          <w:rFonts w:ascii="宋体" w:hAnsi="宋体"/>
          <w:bCs/>
          <w:color w:val="auto"/>
          <w:sz w:val="28"/>
          <w:szCs w:val="28"/>
          <w:highlight w:val="none"/>
        </w:rPr>
      </w:pPr>
    </w:p>
    <w:p>
      <w:pPr>
        <w:spacing w:line="360" w:lineRule="auto"/>
        <w:ind w:right="140"/>
        <w:jc w:val="left"/>
        <w:rPr>
          <w:rFonts w:ascii="宋体" w:hAnsi="宋体"/>
          <w:bCs/>
          <w:color w:val="auto"/>
          <w:sz w:val="28"/>
          <w:szCs w:val="28"/>
          <w:highlight w:val="none"/>
        </w:rPr>
      </w:pPr>
      <w:r>
        <w:rPr>
          <w:rFonts w:hint="eastAsia" w:ascii="宋体" w:hAnsi="宋体"/>
          <w:bCs/>
          <w:color w:val="auto"/>
          <w:sz w:val="28"/>
          <w:szCs w:val="28"/>
          <w:highlight w:val="none"/>
        </w:rPr>
        <w:t>表六</w:t>
      </w:r>
    </w:p>
    <w:p>
      <w:pPr>
        <w:spacing w:line="360" w:lineRule="auto"/>
        <w:jc w:val="center"/>
        <w:rPr>
          <w:rFonts w:ascii="宋体" w:hAnsi="宋体"/>
          <w:bCs/>
          <w:color w:val="auto"/>
          <w:sz w:val="28"/>
          <w:szCs w:val="28"/>
          <w:highlight w:val="none"/>
        </w:rPr>
      </w:pPr>
      <w:r>
        <w:rPr>
          <w:rFonts w:hint="eastAsia" w:ascii="宋体" w:hAnsi="宋体"/>
          <w:bCs/>
          <w:color w:val="auto"/>
          <w:sz w:val="28"/>
          <w:szCs w:val="28"/>
          <w:highlight w:val="none"/>
        </w:rPr>
        <w:t>拟参加编审人员表</w:t>
      </w:r>
    </w:p>
    <w:p>
      <w:pPr>
        <w:spacing w:line="360" w:lineRule="auto"/>
        <w:jc w:val="center"/>
        <w:rPr>
          <w:rFonts w:ascii="宋体" w:hAnsi="宋体"/>
          <w:bCs/>
          <w:color w:val="auto"/>
          <w:sz w:val="28"/>
          <w:szCs w:val="28"/>
          <w:highlight w:val="none"/>
        </w:rPr>
      </w:pPr>
    </w:p>
    <w:p>
      <w:pPr>
        <w:spacing w:line="360" w:lineRule="auto"/>
        <w:rPr>
          <w:rFonts w:ascii="宋体" w:hAnsi="宋体"/>
          <w:bCs/>
          <w:color w:val="auto"/>
          <w:sz w:val="28"/>
          <w:szCs w:val="28"/>
          <w:highlight w:val="none"/>
        </w:rPr>
      </w:pPr>
      <w:r>
        <w:rPr>
          <w:rFonts w:hint="eastAsia" w:ascii="宋体" w:hAnsi="宋体"/>
          <w:bCs/>
          <w:color w:val="auto"/>
          <w:sz w:val="28"/>
          <w:szCs w:val="28"/>
          <w:highlight w:val="none"/>
        </w:rPr>
        <w:t xml:space="preserve">投标方名称（盖章）：  </w:t>
      </w:r>
    </w:p>
    <w:p>
      <w:pPr>
        <w:spacing w:line="360" w:lineRule="auto"/>
        <w:rPr>
          <w:rFonts w:ascii="宋体" w:hAnsi="宋体"/>
          <w:bCs/>
          <w:color w:val="auto"/>
          <w:sz w:val="28"/>
          <w:szCs w:val="28"/>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2"/>
        <w:gridCol w:w="1995"/>
        <w:gridCol w:w="600"/>
        <w:gridCol w:w="570"/>
        <w:gridCol w:w="915"/>
        <w:gridCol w:w="720"/>
        <w:gridCol w:w="1023"/>
        <w:gridCol w:w="2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12" w:space="0"/>
              <w:left w:val="single" w:color="auto" w:sz="12"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姓名</w:t>
            </w:r>
          </w:p>
        </w:tc>
        <w:tc>
          <w:tcPr>
            <w:tcW w:w="1995" w:type="dxa"/>
            <w:tcBorders>
              <w:top w:val="single" w:color="auto" w:sz="12" w:space="0"/>
              <w:left w:val="single" w:color="auto" w:sz="4"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本工程拟任岗位</w:t>
            </w:r>
          </w:p>
        </w:tc>
        <w:tc>
          <w:tcPr>
            <w:tcW w:w="600" w:type="dxa"/>
            <w:tcBorders>
              <w:top w:val="single" w:color="auto" w:sz="12" w:space="0"/>
              <w:left w:val="single" w:color="auto" w:sz="4"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年龄</w:t>
            </w:r>
          </w:p>
        </w:tc>
        <w:tc>
          <w:tcPr>
            <w:tcW w:w="570" w:type="dxa"/>
            <w:tcBorders>
              <w:top w:val="single" w:color="auto" w:sz="12" w:space="0"/>
              <w:left w:val="single" w:color="auto" w:sz="4"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性别</w:t>
            </w:r>
          </w:p>
        </w:tc>
        <w:tc>
          <w:tcPr>
            <w:tcW w:w="915" w:type="dxa"/>
            <w:tcBorders>
              <w:top w:val="single" w:color="auto" w:sz="12" w:space="0"/>
              <w:left w:val="single" w:color="auto" w:sz="4"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专业</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360" w:lineRule="auto"/>
              <w:rPr>
                <w:color w:val="auto"/>
                <w:sz w:val="24"/>
                <w:szCs w:val="20"/>
                <w:highlight w:val="none"/>
              </w:rPr>
            </w:pPr>
            <w:r>
              <w:rPr>
                <w:rFonts w:hint="eastAsia"/>
                <w:color w:val="auto"/>
                <w:sz w:val="24"/>
                <w:highlight w:val="none"/>
              </w:rPr>
              <w:t>专业年限</w:t>
            </w:r>
          </w:p>
        </w:tc>
        <w:tc>
          <w:tcPr>
            <w:tcW w:w="1023"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color w:val="auto"/>
                <w:sz w:val="24"/>
                <w:szCs w:val="20"/>
                <w:highlight w:val="none"/>
              </w:rPr>
            </w:pPr>
            <w:r>
              <w:rPr>
                <w:rFonts w:hint="eastAsia"/>
                <w:color w:val="auto"/>
                <w:sz w:val="24"/>
                <w:highlight w:val="none"/>
              </w:rPr>
              <w:t>职称</w:t>
            </w:r>
          </w:p>
        </w:tc>
        <w:tc>
          <w:tcPr>
            <w:tcW w:w="2430" w:type="dxa"/>
            <w:tcBorders>
              <w:top w:val="single" w:color="auto" w:sz="12" w:space="0"/>
              <w:left w:val="single" w:color="auto" w:sz="4" w:space="0"/>
              <w:bottom w:val="single" w:color="auto" w:sz="12" w:space="0"/>
              <w:right w:val="single" w:color="auto" w:sz="12" w:space="0"/>
            </w:tcBorders>
            <w:vAlign w:val="center"/>
          </w:tcPr>
          <w:p>
            <w:pPr>
              <w:spacing w:line="360" w:lineRule="auto"/>
              <w:jc w:val="center"/>
              <w:rPr>
                <w:color w:val="auto"/>
                <w:sz w:val="24"/>
                <w:szCs w:val="20"/>
                <w:highlight w:val="none"/>
              </w:rPr>
            </w:pPr>
            <w:r>
              <w:rPr>
                <w:rFonts w:hint="eastAsia"/>
                <w:color w:val="auto"/>
                <w:sz w:val="24"/>
                <w:highlight w:val="none"/>
              </w:rPr>
              <w:t>身份证号码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12"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12"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12"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12"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12"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12" w:space="0"/>
              <w:left w:val="single" w:color="auto" w:sz="4" w:space="0"/>
              <w:bottom w:val="single" w:color="auto" w:sz="4" w:space="0"/>
              <w:right w:val="single" w:color="auto" w:sz="4" w:space="0"/>
            </w:tcBorders>
            <w:vAlign w:val="center"/>
          </w:tcPr>
          <w:p>
            <w:pPr>
              <w:pStyle w:val="8"/>
              <w:spacing w:line="360" w:lineRule="auto"/>
              <w:rPr>
                <w:color w:val="auto"/>
                <w:highlight w:val="none"/>
              </w:rPr>
            </w:pPr>
          </w:p>
        </w:tc>
        <w:tc>
          <w:tcPr>
            <w:tcW w:w="2430" w:type="dxa"/>
            <w:tcBorders>
              <w:top w:val="single" w:color="auto" w:sz="12"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pStyle w:val="8"/>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22" w:type="dxa"/>
            <w:tcBorders>
              <w:top w:val="single" w:color="auto" w:sz="4" w:space="0"/>
              <w:left w:val="single" w:color="auto" w:sz="12" w:space="0"/>
              <w:bottom w:val="single" w:color="auto" w:sz="4" w:space="0"/>
              <w:right w:val="single" w:color="auto" w:sz="4" w:space="0"/>
            </w:tcBorders>
            <w:vAlign w:val="center"/>
          </w:tcPr>
          <w:p>
            <w:pPr>
              <w:spacing w:line="360" w:lineRule="auto"/>
              <w:rPr>
                <w:color w:val="auto"/>
                <w:sz w:val="24"/>
                <w:szCs w:val="20"/>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0"/>
                <w:highlight w:val="none"/>
              </w:rPr>
            </w:pPr>
          </w:p>
        </w:tc>
        <w:tc>
          <w:tcPr>
            <w:tcW w:w="2430" w:type="dxa"/>
            <w:tcBorders>
              <w:top w:val="single" w:color="auto" w:sz="4" w:space="0"/>
              <w:left w:val="single" w:color="auto" w:sz="4" w:space="0"/>
              <w:bottom w:val="single" w:color="auto" w:sz="4" w:space="0"/>
              <w:right w:val="single" w:color="auto" w:sz="12" w:space="0"/>
            </w:tcBorders>
            <w:vAlign w:val="center"/>
          </w:tcPr>
          <w:p>
            <w:pPr>
              <w:spacing w:line="360" w:lineRule="auto"/>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275" w:type="dxa"/>
            <w:gridSpan w:val="8"/>
            <w:tcBorders>
              <w:top w:val="single" w:color="auto" w:sz="4" w:space="0"/>
              <w:left w:val="single" w:color="auto" w:sz="12" w:space="0"/>
              <w:bottom w:val="single" w:color="auto" w:sz="12" w:space="0"/>
              <w:right w:val="single" w:color="auto" w:sz="12" w:space="0"/>
            </w:tcBorders>
            <w:vAlign w:val="center"/>
          </w:tcPr>
          <w:p>
            <w:pPr>
              <w:spacing w:line="360" w:lineRule="auto"/>
              <w:rPr>
                <w:color w:val="auto"/>
                <w:szCs w:val="20"/>
                <w:highlight w:val="none"/>
              </w:rPr>
            </w:pPr>
          </w:p>
        </w:tc>
      </w:tr>
    </w:tbl>
    <w:p>
      <w:pPr>
        <w:spacing w:line="360" w:lineRule="auto"/>
        <w:rPr>
          <w:rFonts w:ascii="宋体" w:hAnsi="宋体"/>
          <w:bCs/>
          <w:color w:val="auto"/>
          <w:sz w:val="28"/>
          <w:szCs w:val="28"/>
          <w:highlight w:val="none"/>
        </w:rPr>
      </w:pPr>
    </w:p>
    <w:p>
      <w:pPr>
        <w:spacing w:line="360" w:lineRule="auto"/>
        <w:rPr>
          <w:rFonts w:ascii="宋体" w:hAnsi="宋体"/>
          <w:bCs/>
          <w:color w:val="auto"/>
          <w:sz w:val="28"/>
          <w:szCs w:val="28"/>
          <w:highlight w:val="none"/>
        </w:rPr>
      </w:pPr>
      <w:r>
        <w:rPr>
          <w:rFonts w:hint="eastAsia" w:ascii="宋体" w:hAnsi="宋体"/>
          <w:color w:val="auto"/>
          <w:kern w:val="0"/>
          <w:sz w:val="28"/>
          <w:szCs w:val="28"/>
          <w:highlight w:val="none"/>
        </w:rPr>
        <w:t>备注： 1、</w:t>
      </w:r>
      <w:r>
        <w:rPr>
          <w:rFonts w:hint="eastAsia" w:ascii="宋体" w:hAnsi="宋体" w:cs="宋体"/>
          <w:color w:val="auto"/>
          <w:kern w:val="0"/>
          <w:sz w:val="28"/>
          <w:szCs w:val="28"/>
          <w:highlight w:val="none"/>
        </w:rPr>
        <w:t>投标人随此表附上职称证书、造价师注册证书复印件、</w:t>
      </w:r>
      <w:r>
        <w:rPr>
          <w:rFonts w:hint="eastAsia"/>
          <w:color w:val="auto"/>
          <w:sz w:val="28"/>
          <w:szCs w:val="28"/>
          <w:highlight w:val="none"/>
        </w:rPr>
        <w:t>劳动合同、缴纳社会保险（公告日之后）。</w:t>
      </w:r>
    </w:p>
    <w:p>
      <w:pPr>
        <w:spacing w:line="360" w:lineRule="auto"/>
        <w:rPr>
          <w:rFonts w:ascii="宋体" w:hAnsi="宋体"/>
          <w:bCs/>
          <w:color w:val="auto"/>
          <w:sz w:val="28"/>
          <w:szCs w:val="28"/>
          <w:highlight w:val="none"/>
        </w:rPr>
      </w:pPr>
      <w:r>
        <w:rPr>
          <w:rFonts w:hint="eastAsia" w:ascii="宋体" w:hAnsi="宋体"/>
          <w:bCs/>
          <w:color w:val="auto"/>
          <w:sz w:val="28"/>
          <w:szCs w:val="28"/>
          <w:highlight w:val="none"/>
        </w:rPr>
        <w:t>2、此表在不改变表式的情况下，可自行制作。</w:t>
      </w:r>
    </w:p>
    <w:p>
      <w:pPr>
        <w:spacing w:line="360" w:lineRule="auto"/>
        <w:jc w:val="center"/>
        <w:rPr>
          <w:rFonts w:ascii="宋体" w:hAnsi="宋体"/>
          <w:color w:val="auto"/>
          <w:sz w:val="28"/>
          <w:szCs w:val="28"/>
          <w:highlight w:val="none"/>
        </w:rPr>
      </w:pPr>
    </w:p>
    <w:p>
      <w:pPr>
        <w:spacing w:line="360" w:lineRule="auto"/>
        <w:jc w:val="center"/>
        <w:rPr>
          <w:rFonts w:ascii="宋体" w:hAnsi="宋体"/>
          <w:color w:val="auto"/>
          <w:sz w:val="28"/>
          <w:szCs w:val="28"/>
          <w:highlight w:val="none"/>
        </w:rPr>
      </w:pPr>
    </w:p>
    <w:p>
      <w:pPr>
        <w:spacing w:line="360" w:lineRule="auto"/>
        <w:jc w:val="left"/>
        <w:rPr>
          <w:rFonts w:ascii="宋体" w:hAnsi="宋体"/>
          <w:bCs/>
          <w:color w:val="auto"/>
          <w:sz w:val="28"/>
          <w:szCs w:val="28"/>
          <w:highlight w:val="none"/>
        </w:rPr>
      </w:pPr>
      <w:r>
        <w:rPr>
          <w:rFonts w:hint="eastAsia" w:ascii="宋体" w:hAnsi="宋体"/>
          <w:bCs/>
          <w:color w:val="auto"/>
          <w:sz w:val="28"/>
          <w:szCs w:val="28"/>
          <w:highlight w:val="none"/>
        </w:rPr>
        <w:t>表七</w:t>
      </w:r>
    </w:p>
    <w:p>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预结算编审服务承诺书</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致：浙江广厦建设职业技术大学：</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 xml:space="preserve">    我单位如中标，就预结算编审时限及编审结果误差率作如下郑重承诺：</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一、编审时限：本公司在保证质量的前提下，预（结）算额500万元以内的，预算编制______个日历天内完成，预算审核______个日历天内完成，结算审核______个日历天内完成；500-1000万元的，预算编制______个日历天内完成，预算审核______个日历天内完成，结算审核______个日历天内完成；1000-5000万元的，预算编制______个日历天内完成，预算审核______个日历天内完成，结算审核______个日历天内完成；5000万元以上的，预算编制______个日历天内完成，预算审核______个日历天内完成，结算审核______个日历天内完成；确有特殊原因不能审结的应向浙江广厦建设职业技术大学提供书面情况说明（如因建设单位或设计单位原因引起的延期，须由建设单位或设计单位签字说明），经学校同意后方可延期。</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因我单位原因造成逾期的,我单位愿意</w:t>
      </w:r>
      <w:r>
        <w:rPr>
          <w:rFonts w:hint="eastAsia"/>
          <w:color w:val="auto"/>
          <w:sz w:val="28"/>
          <w:szCs w:val="28"/>
          <w:highlight w:val="none"/>
        </w:rPr>
        <w:t>自逾期之日起，每日扣除该项目</w:t>
      </w:r>
      <w:r>
        <w:rPr>
          <w:color w:val="auto"/>
          <w:sz w:val="28"/>
          <w:szCs w:val="28"/>
          <w:highlight w:val="none"/>
        </w:rPr>
        <w:t>2</w:t>
      </w:r>
      <w:r>
        <w:rPr>
          <w:rFonts w:hint="eastAsia" w:ascii="宋体" w:hAnsi="宋体"/>
          <w:color w:val="auto"/>
          <w:sz w:val="28"/>
          <w:szCs w:val="28"/>
          <w:highlight w:val="none"/>
        </w:rPr>
        <w:t>﹪</w:t>
      </w:r>
      <w:r>
        <w:rPr>
          <w:rFonts w:hint="eastAsia"/>
          <w:color w:val="auto"/>
          <w:sz w:val="28"/>
          <w:szCs w:val="28"/>
          <w:highlight w:val="none"/>
        </w:rPr>
        <w:t>的编审费，累计扣除不超过审价费用的总数（扣除税金）</w:t>
      </w:r>
      <w:r>
        <w:rPr>
          <w:rFonts w:hint="eastAsia" w:ascii="宋体" w:hAnsi="宋体"/>
          <w:color w:val="auto"/>
          <w:sz w:val="28"/>
          <w:szCs w:val="28"/>
          <w:highlight w:val="none"/>
        </w:rPr>
        <w:t>。</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一年中如有三次因我单位原因造成延期的，我单位愿意接受“没收履约保证金，停止预结算审核资格”等处罚。</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二、编审结果误差率：不超过3%。</w:t>
      </w:r>
    </w:p>
    <w:p>
      <w:pPr>
        <w:spacing w:line="400" w:lineRule="exact"/>
        <w:ind w:firstLine="280" w:firstLineChars="100"/>
        <w:rPr>
          <w:rFonts w:ascii="宋体" w:hAnsi="宋体"/>
          <w:color w:val="auto"/>
          <w:sz w:val="28"/>
          <w:szCs w:val="28"/>
          <w:highlight w:val="none"/>
        </w:rPr>
      </w:pPr>
      <w:r>
        <w:rPr>
          <w:rFonts w:hint="eastAsia"/>
          <w:color w:val="auto"/>
          <w:sz w:val="28"/>
          <w:szCs w:val="28"/>
          <w:highlight w:val="none"/>
        </w:rPr>
        <w:t>如编审结果误差率高于</w:t>
      </w:r>
      <w:r>
        <w:rPr>
          <w:color w:val="auto"/>
          <w:sz w:val="28"/>
          <w:szCs w:val="28"/>
          <w:highlight w:val="none"/>
        </w:rPr>
        <w:t>3</w:t>
      </w:r>
      <w:r>
        <w:rPr>
          <w:rFonts w:hint="eastAsia" w:ascii="宋体" w:hAnsi="宋体"/>
          <w:color w:val="auto"/>
          <w:sz w:val="28"/>
          <w:szCs w:val="28"/>
          <w:highlight w:val="none"/>
        </w:rPr>
        <w:t>﹪的，同意不支付该项目的编审费，</w:t>
      </w:r>
    </w:p>
    <w:p>
      <w:pPr>
        <w:spacing w:line="40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如一年中有</w:t>
      </w:r>
      <w:r>
        <w:rPr>
          <w:rFonts w:hint="eastAsia" w:ascii="宋体" w:hAnsi="宋体"/>
          <w:color w:val="auto"/>
          <w:sz w:val="28"/>
          <w:szCs w:val="28"/>
          <w:highlight w:val="none"/>
          <w:lang w:eastAsia="zh-CN"/>
        </w:rPr>
        <w:t>两</w:t>
      </w:r>
      <w:r>
        <w:rPr>
          <w:rFonts w:hint="eastAsia" w:ascii="宋体" w:hAnsi="宋体"/>
          <w:color w:val="auto"/>
          <w:sz w:val="28"/>
          <w:szCs w:val="28"/>
          <w:highlight w:val="none"/>
        </w:rPr>
        <w:t>次审核误差率高于3%的，我单位愿意接受“不支付误差率超过3%的项目审核费，没收履约保证金，停止预结算审核资格”等处罚。</w:t>
      </w:r>
    </w:p>
    <w:p>
      <w:pPr>
        <w:spacing w:line="400" w:lineRule="exact"/>
        <w:ind w:firstLine="280" w:firstLineChars="100"/>
        <w:rPr>
          <w:rFonts w:ascii="宋体" w:hAnsi="宋体"/>
          <w:color w:val="auto"/>
          <w:sz w:val="28"/>
          <w:szCs w:val="28"/>
          <w:highlight w:val="none"/>
        </w:rPr>
      </w:pPr>
    </w:p>
    <w:p>
      <w:pPr>
        <w:spacing w:line="400" w:lineRule="exact"/>
        <w:ind w:firstLine="280" w:firstLineChars="100"/>
        <w:rPr>
          <w:rFonts w:ascii="宋体" w:hAnsi="宋体"/>
          <w:color w:val="auto"/>
          <w:sz w:val="28"/>
          <w:szCs w:val="28"/>
          <w:highlight w:val="none"/>
        </w:rPr>
      </w:pPr>
    </w:p>
    <w:p>
      <w:pPr>
        <w:spacing w:line="400" w:lineRule="exact"/>
        <w:ind w:firstLine="280" w:firstLineChars="100"/>
        <w:rPr>
          <w:rFonts w:ascii="宋体" w:hAnsi="宋体"/>
          <w:color w:val="auto"/>
          <w:sz w:val="28"/>
          <w:szCs w:val="28"/>
          <w:highlight w:val="none"/>
        </w:rPr>
      </w:pPr>
    </w:p>
    <w:p>
      <w:pPr>
        <w:spacing w:line="400" w:lineRule="exact"/>
        <w:ind w:firstLine="280" w:firstLineChars="100"/>
        <w:rPr>
          <w:rFonts w:ascii="宋体" w:hAnsi="宋体"/>
          <w:color w:val="auto"/>
          <w:sz w:val="28"/>
          <w:szCs w:val="28"/>
          <w:highlight w:val="none"/>
        </w:rPr>
      </w:pPr>
    </w:p>
    <w:p>
      <w:pPr>
        <w:spacing w:line="360" w:lineRule="auto"/>
        <w:rPr>
          <w:rFonts w:ascii="宋体" w:hAnsi="宋体"/>
          <w:color w:val="auto"/>
          <w:sz w:val="28"/>
          <w:szCs w:val="28"/>
          <w:highlight w:val="none"/>
        </w:rPr>
      </w:pPr>
      <w:r>
        <w:rPr>
          <w:rFonts w:hint="eastAsia" w:ascii="宋体" w:hAnsi="宋体"/>
          <w:color w:val="auto"/>
          <w:sz w:val="28"/>
          <w:szCs w:val="28"/>
          <w:highlight w:val="none"/>
        </w:rPr>
        <w:t>投标方</w:t>
      </w:r>
      <w:r>
        <w:rPr>
          <w:rFonts w:hint="eastAsia" w:ascii="宋体" w:hAnsi="宋体"/>
          <w:bCs/>
          <w:color w:val="auto"/>
          <w:sz w:val="28"/>
          <w:szCs w:val="28"/>
          <w:highlight w:val="none"/>
        </w:rPr>
        <w:t>名称（盖章）</w:t>
      </w:r>
    </w:p>
    <w:p>
      <w:pPr>
        <w:spacing w:line="360" w:lineRule="auto"/>
        <w:ind w:firstLine="280" w:firstLineChars="100"/>
        <w:rPr>
          <w:rFonts w:ascii="宋体" w:hAnsi="宋体"/>
          <w:color w:val="auto"/>
          <w:sz w:val="28"/>
          <w:szCs w:val="28"/>
          <w:highlight w:val="none"/>
          <w:u w:val="single"/>
        </w:rPr>
      </w:pPr>
      <w:r>
        <w:rPr>
          <w:rFonts w:hint="eastAsia" w:ascii="宋体" w:hAnsi="宋体"/>
          <w:color w:val="auto"/>
          <w:sz w:val="28"/>
          <w:szCs w:val="28"/>
          <w:highlight w:val="none"/>
        </w:rPr>
        <w:t>代表签字：    职  务：</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u w:val="single"/>
        </w:rPr>
      </w:pPr>
      <w:r>
        <w:rPr>
          <w:rFonts w:hint="eastAsia" w:ascii="宋体" w:hAnsi="宋体"/>
          <w:color w:val="auto"/>
          <w:sz w:val="28"/>
          <w:szCs w:val="28"/>
          <w:highlight w:val="none"/>
        </w:rPr>
        <w:t>日  期：</w:t>
      </w:r>
    </w:p>
    <w:p>
      <w:pPr>
        <w:spacing w:line="360" w:lineRule="auto"/>
        <w:ind w:right="280"/>
        <w:rPr>
          <w:color w:val="auto"/>
          <w:highlight w:val="none"/>
        </w:rPr>
      </w:pPr>
    </w:p>
    <w:sectPr>
      <w:pgSz w:w="11906" w:h="16838"/>
      <w:pgMar w:top="1361" w:right="1134" w:bottom="1361" w:left="1253"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separate"/>
    </w:r>
    <w:r>
      <w:rPr>
        <w:rStyle w:val="18"/>
      </w:rPr>
      <w:t>15</w:t>
    </w:r>
    <w:r>
      <w:fldChar w:fldCharType="end"/>
    </w:r>
  </w:p>
  <w:p>
    <w:pPr>
      <w:pStyle w:val="10"/>
      <w:framePr w:wrap="around" w:vAnchor="text" w:hAnchor="margin" w:xAlign="center"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fldChar w:fldCharType="begin"/>
    </w:r>
    <w:r>
      <w:rPr>
        <w:rStyle w:val="18"/>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17</w:t>
    </w:r>
    <w:r>
      <w:fldChar w:fldCharType="end"/>
    </w:r>
  </w:p>
  <w:p>
    <w:pPr>
      <w:pStyle w:val="1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54736"/>
    <w:multiLevelType w:val="singleLevel"/>
    <w:tmpl w:val="BA354736"/>
    <w:lvl w:ilvl="0" w:tentative="0">
      <w:start w:val="3"/>
      <w:numFmt w:val="decimal"/>
      <w:suff w:val="nothing"/>
      <w:lvlText w:val="%1、"/>
      <w:lvlJc w:val="left"/>
    </w:lvl>
  </w:abstractNum>
  <w:abstractNum w:abstractNumId="1">
    <w:nsid w:val="1C2D41B6"/>
    <w:multiLevelType w:val="singleLevel"/>
    <w:tmpl w:val="1C2D41B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4602D"/>
    <w:rsid w:val="00012C29"/>
    <w:rsid w:val="00013080"/>
    <w:rsid w:val="0001623A"/>
    <w:rsid w:val="00025945"/>
    <w:rsid w:val="0005392C"/>
    <w:rsid w:val="000539C7"/>
    <w:rsid w:val="0007565D"/>
    <w:rsid w:val="000875B6"/>
    <w:rsid w:val="000B7F9E"/>
    <w:rsid w:val="000D303C"/>
    <w:rsid w:val="00102B43"/>
    <w:rsid w:val="001542F4"/>
    <w:rsid w:val="00186777"/>
    <w:rsid w:val="00194C42"/>
    <w:rsid w:val="001A4FB5"/>
    <w:rsid w:val="001A71C5"/>
    <w:rsid w:val="001B14A7"/>
    <w:rsid w:val="001C10EF"/>
    <w:rsid w:val="00202BA5"/>
    <w:rsid w:val="002175BE"/>
    <w:rsid w:val="00256108"/>
    <w:rsid w:val="00263A24"/>
    <w:rsid w:val="00280B82"/>
    <w:rsid w:val="002B4BE0"/>
    <w:rsid w:val="002D57F6"/>
    <w:rsid w:val="002F36E7"/>
    <w:rsid w:val="00324AC5"/>
    <w:rsid w:val="00334BAB"/>
    <w:rsid w:val="00356A82"/>
    <w:rsid w:val="00363795"/>
    <w:rsid w:val="00396A49"/>
    <w:rsid w:val="003A56CD"/>
    <w:rsid w:val="003B14FB"/>
    <w:rsid w:val="003C1551"/>
    <w:rsid w:val="00414B4C"/>
    <w:rsid w:val="00501553"/>
    <w:rsid w:val="00502F5D"/>
    <w:rsid w:val="00516787"/>
    <w:rsid w:val="00530E60"/>
    <w:rsid w:val="0055467C"/>
    <w:rsid w:val="00555802"/>
    <w:rsid w:val="005967FB"/>
    <w:rsid w:val="005A05D7"/>
    <w:rsid w:val="005B6DD0"/>
    <w:rsid w:val="005E47AF"/>
    <w:rsid w:val="005F2394"/>
    <w:rsid w:val="005F6C30"/>
    <w:rsid w:val="006029E2"/>
    <w:rsid w:val="00653017"/>
    <w:rsid w:val="00670E4B"/>
    <w:rsid w:val="00691BEF"/>
    <w:rsid w:val="006B2CF3"/>
    <w:rsid w:val="006E1BD8"/>
    <w:rsid w:val="006F0199"/>
    <w:rsid w:val="006F2B86"/>
    <w:rsid w:val="007453A3"/>
    <w:rsid w:val="007455DB"/>
    <w:rsid w:val="00780C41"/>
    <w:rsid w:val="007B3C43"/>
    <w:rsid w:val="007E6D71"/>
    <w:rsid w:val="007E7246"/>
    <w:rsid w:val="00850BBB"/>
    <w:rsid w:val="00885C60"/>
    <w:rsid w:val="008D4112"/>
    <w:rsid w:val="00930008"/>
    <w:rsid w:val="0096032D"/>
    <w:rsid w:val="009921A2"/>
    <w:rsid w:val="009D069B"/>
    <w:rsid w:val="00A10201"/>
    <w:rsid w:val="00A25792"/>
    <w:rsid w:val="00A33CED"/>
    <w:rsid w:val="00A361AA"/>
    <w:rsid w:val="00A41C49"/>
    <w:rsid w:val="00A431A4"/>
    <w:rsid w:val="00A62AB3"/>
    <w:rsid w:val="00A75767"/>
    <w:rsid w:val="00AA0D47"/>
    <w:rsid w:val="00AC5170"/>
    <w:rsid w:val="00B001CE"/>
    <w:rsid w:val="00B009DD"/>
    <w:rsid w:val="00B2612B"/>
    <w:rsid w:val="00B421E6"/>
    <w:rsid w:val="00B969DF"/>
    <w:rsid w:val="00BB21BD"/>
    <w:rsid w:val="00C65C08"/>
    <w:rsid w:val="00CC46E0"/>
    <w:rsid w:val="00CC5164"/>
    <w:rsid w:val="00CE637E"/>
    <w:rsid w:val="00D21376"/>
    <w:rsid w:val="00D36886"/>
    <w:rsid w:val="00D37EFB"/>
    <w:rsid w:val="00DB4E4A"/>
    <w:rsid w:val="00DD28F7"/>
    <w:rsid w:val="00DF45BD"/>
    <w:rsid w:val="00E017FE"/>
    <w:rsid w:val="00E27E0A"/>
    <w:rsid w:val="00EA473C"/>
    <w:rsid w:val="00ED6A3E"/>
    <w:rsid w:val="00EF309A"/>
    <w:rsid w:val="00F11866"/>
    <w:rsid w:val="00F11D16"/>
    <w:rsid w:val="00F310F9"/>
    <w:rsid w:val="00F32ABD"/>
    <w:rsid w:val="00F43F27"/>
    <w:rsid w:val="00F46D8C"/>
    <w:rsid w:val="00F679DD"/>
    <w:rsid w:val="00F7764A"/>
    <w:rsid w:val="00FA0731"/>
    <w:rsid w:val="00FB120D"/>
    <w:rsid w:val="00FD7081"/>
    <w:rsid w:val="02531B47"/>
    <w:rsid w:val="0488617D"/>
    <w:rsid w:val="04C874AF"/>
    <w:rsid w:val="08957DF5"/>
    <w:rsid w:val="094A2B91"/>
    <w:rsid w:val="09F301A8"/>
    <w:rsid w:val="0A991C1D"/>
    <w:rsid w:val="0B742D73"/>
    <w:rsid w:val="1264602D"/>
    <w:rsid w:val="12AD4029"/>
    <w:rsid w:val="14A7047B"/>
    <w:rsid w:val="17495422"/>
    <w:rsid w:val="181D1EBC"/>
    <w:rsid w:val="238C1B1D"/>
    <w:rsid w:val="24E73981"/>
    <w:rsid w:val="2B663F4D"/>
    <w:rsid w:val="2C946C2B"/>
    <w:rsid w:val="3020018C"/>
    <w:rsid w:val="3279419C"/>
    <w:rsid w:val="33A67CFB"/>
    <w:rsid w:val="33F24AC2"/>
    <w:rsid w:val="36AF2BDE"/>
    <w:rsid w:val="3BE00971"/>
    <w:rsid w:val="3F406BBA"/>
    <w:rsid w:val="44113874"/>
    <w:rsid w:val="49190F05"/>
    <w:rsid w:val="4AE60681"/>
    <w:rsid w:val="4C1108CB"/>
    <w:rsid w:val="4CFC7D24"/>
    <w:rsid w:val="4E706342"/>
    <w:rsid w:val="4EB13BE3"/>
    <w:rsid w:val="507F2FF1"/>
    <w:rsid w:val="540E7870"/>
    <w:rsid w:val="542A7388"/>
    <w:rsid w:val="546D287C"/>
    <w:rsid w:val="5EFB7DDC"/>
    <w:rsid w:val="642C17AD"/>
    <w:rsid w:val="675863FE"/>
    <w:rsid w:val="6B124C70"/>
    <w:rsid w:val="6B643CA7"/>
    <w:rsid w:val="6BB12533"/>
    <w:rsid w:val="6E5753A1"/>
    <w:rsid w:val="771B14B4"/>
    <w:rsid w:val="78D2586E"/>
    <w:rsid w:val="792F7A79"/>
    <w:rsid w:val="7A9D1502"/>
    <w:rsid w:val="7C88523B"/>
    <w:rsid w:val="7CED420D"/>
    <w:rsid w:val="7E731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firstLineChars="200"/>
    </w:pPr>
    <w:rPr>
      <w:sz w:val="21"/>
      <w:szCs w:val="24"/>
    </w:rPr>
  </w:style>
  <w:style w:type="paragraph" w:styleId="3">
    <w:name w:val="Body Text Indent"/>
    <w:basedOn w:val="1"/>
    <w:next w:val="4"/>
    <w:qFormat/>
    <w:uiPriority w:val="0"/>
    <w:pPr>
      <w:spacing w:after="120"/>
      <w:ind w:left="420" w:leftChars="200"/>
    </w:pPr>
  </w:style>
  <w:style w:type="paragraph" w:styleId="4">
    <w:name w:val="Normal Indent"/>
    <w:basedOn w:val="1"/>
    <w:next w:val="5"/>
    <w:qFormat/>
    <w:uiPriority w:val="0"/>
    <w:pPr>
      <w:ind w:firstLine="420"/>
    </w:pPr>
    <w:rPr>
      <w:szCs w:val="20"/>
    </w:rPr>
  </w:style>
  <w:style w:type="paragraph" w:styleId="5">
    <w:name w:val="Body Text"/>
    <w:basedOn w:val="1"/>
    <w:next w:val="1"/>
    <w:qFormat/>
    <w:uiPriority w:val="0"/>
    <w:pPr>
      <w:spacing w:after="120"/>
    </w:pPr>
    <w:rPr>
      <w:sz w:val="28"/>
    </w:rPr>
  </w:style>
  <w:style w:type="paragraph" w:styleId="6">
    <w:name w:val="annotation text"/>
    <w:basedOn w:val="1"/>
    <w:semiHidden/>
    <w:qFormat/>
    <w:uiPriority w:val="0"/>
    <w:pPr>
      <w:jc w:val="left"/>
    </w:pPr>
  </w:style>
  <w:style w:type="paragraph" w:styleId="7">
    <w:name w:val="Plain Text"/>
    <w:basedOn w:val="1"/>
    <w:qFormat/>
    <w:uiPriority w:val="0"/>
    <w:rPr>
      <w:rFonts w:ascii="宋体" w:hAnsi="Courier New" w:cs="Courier New"/>
      <w:szCs w:val="21"/>
    </w:rPr>
  </w:style>
  <w:style w:type="paragraph" w:styleId="8">
    <w:name w:val="Date"/>
    <w:basedOn w:val="1"/>
    <w:next w:val="1"/>
    <w:link w:val="22"/>
    <w:qFormat/>
    <w:uiPriority w:val="0"/>
    <w:rPr>
      <w:rFonts w:ascii="Calibri" w:hAnsi="Calibri"/>
      <w:sz w:val="24"/>
      <w:szCs w:val="2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qFormat/>
    <w:uiPriority w:val="0"/>
    <w:pPr>
      <w:ind w:left="2100"/>
    </w:pPr>
  </w:style>
  <w:style w:type="paragraph" w:styleId="13">
    <w:name w:val="Normal (Web)"/>
    <w:basedOn w:val="1"/>
    <w:qFormat/>
    <w:uiPriority w:val="0"/>
    <w:pPr>
      <w:spacing w:after="150"/>
      <w:jc w:val="left"/>
    </w:pPr>
    <w:rPr>
      <w:kern w:val="0"/>
      <w:sz w:val="24"/>
    </w:rPr>
  </w:style>
  <w:style w:type="paragraph" w:styleId="14">
    <w:name w:val="Body Text First Indent"/>
    <w:basedOn w:val="5"/>
    <w:next w:val="12"/>
    <w:qFormat/>
    <w:uiPriority w:val="0"/>
    <w:pPr>
      <w:ind w:firstLine="420" w:firstLineChars="100"/>
    </w:p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章正文"/>
    <w:basedOn w:val="1"/>
    <w:qFormat/>
    <w:uiPriority w:val="0"/>
    <w:pPr>
      <w:spacing w:after="120" w:line="300" w:lineRule="auto"/>
      <w:ind w:firstLine="480"/>
    </w:pPr>
    <w:rPr>
      <w:rFonts w:ascii="Helvetica;Arial" w:hAnsi="Helvetica;Arial" w:cs="Helvetica;Arial"/>
      <w:kern w:val="0"/>
    </w:rPr>
  </w:style>
  <w:style w:type="character" w:customStyle="1" w:styleId="20">
    <w:name w:val="批注框文本 Char"/>
    <w:basedOn w:val="16"/>
    <w:link w:val="9"/>
    <w:qFormat/>
    <w:uiPriority w:val="0"/>
    <w:rPr>
      <w:kern w:val="2"/>
      <w:sz w:val="18"/>
      <w:szCs w:val="18"/>
    </w:rPr>
  </w:style>
  <w:style w:type="paragraph" w:customStyle="1" w:styleId="21">
    <w:name w:val="纯文本1"/>
    <w:basedOn w:val="1"/>
    <w:next w:val="1"/>
    <w:qFormat/>
    <w:uiPriority w:val="0"/>
    <w:pPr>
      <w:spacing w:before="156" w:after="156" w:line="400" w:lineRule="exact"/>
    </w:pPr>
    <w:rPr>
      <w:rFonts w:ascii="宋体" w:hAnsi="宋体" w:cs="Courier New"/>
      <w:sz w:val="24"/>
    </w:rPr>
  </w:style>
  <w:style w:type="character" w:customStyle="1" w:styleId="22">
    <w:name w:val="日期 Char"/>
    <w:basedOn w:val="16"/>
    <w:link w:val="8"/>
    <w:qFormat/>
    <w:uiPriority w:val="0"/>
    <w:rPr>
      <w:rFonts w:ascii="Calibri" w:hAnsi="Calibri"/>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1444</Words>
  <Characters>8235</Characters>
  <Lines>68</Lines>
  <Paragraphs>19</Paragraphs>
  <TotalTime>1</TotalTime>
  <ScaleCrop>false</ScaleCrop>
  <LinksUpToDate>false</LinksUpToDate>
  <CharactersWithSpaces>9660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2020-03-13T06:45:00Z</dcterms:created>
  <dc:creator>金华市众信工程管理有限公司</dc:creator>
  <cp:lastModifiedBy>Administrator</cp:lastModifiedBy>
  <cp:lastPrinted>2021-11-15T00:56:00Z</cp:lastPrinted>
  <dcterms:modified xsi:type="dcterms:W3CDTF">2021-11-15T08:54:43Z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A50563119AD04B169AEDF70402BEC2EF</vt:lpwstr>
  </property>
</Properties>
</file>