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color w:val="000000" w:themeColor="text1"/>
          <w14:textFill>
            <w14:solidFill>
              <w14:schemeClr w14:val="tx1"/>
            </w14:solidFill>
          </w14:textFill>
        </w:rPr>
      </w:pPr>
    </w:p>
    <w:p>
      <w:pPr>
        <w:pStyle w:val="2"/>
        <w:ind w:firstLine="0" w:firstLineChars="0"/>
        <w:jc w:val="center"/>
        <w:rPr>
          <w:b/>
          <w:bCs/>
          <w:color w:val="000000" w:themeColor="text1"/>
          <w:sz w:val="52"/>
          <w:szCs w:val="52"/>
          <w14:textFill>
            <w14:solidFill>
              <w14:schemeClr w14:val="tx1"/>
            </w14:solidFill>
          </w14:textFill>
        </w:rPr>
      </w:pPr>
    </w:p>
    <w:p>
      <w:pPr>
        <w:pStyle w:val="2"/>
        <w:ind w:firstLine="0" w:firstLineChars="0"/>
        <w:jc w:val="center"/>
        <w:rPr>
          <w:b/>
          <w:bCs/>
          <w:color w:val="000000" w:themeColor="text1"/>
          <w:sz w:val="52"/>
          <w:szCs w:val="52"/>
          <w14:textFill>
            <w14:solidFill>
              <w14:schemeClr w14:val="tx1"/>
            </w14:solidFill>
          </w14:textFill>
        </w:rPr>
      </w:pPr>
    </w:p>
    <w:p>
      <w:pPr>
        <w:pStyle w:val="2"/>
        <w:ind w:firstLine="0" w:firstLineChars="0"/>
        <w:jc w:val="center"/>
        <w:rPr>
          <w:b/>
          <w:bCs/>
          <w:color w:val="000000" w:themeColor="text1"/>
          <w:sz w:val="36"/>
          <w:szCs w:val="44"/>
          <w14:textFill>
            <w14:solidFill>
              <w14:schemeClr w14:val="tx1"/>
            </w14:solidFill>
          </w14:textFill>
        </w:rPr>
      </w:pPr>
      <w:r>
        <w:rPr>
          <w:rFonts w:hint="eastAsia"/>
          <w:b/>
          <w:bCs/>
          <w:color w:val="000000" w:themeColor="text1"/>
          <w:sz w:val="72"/>
          <w:szCs w:val="72"/>
          <w14:textFill>
            <w14:solidFill>
              <w14:schemeClr w14:val="tx1"/>
            </w14:solidFill>
          </w14:textFill>
        </w:rPr>
        <w:t>浙江广厦建设职业技术大学</w:t>
      </w:r>
    </w:p>
    <w:p>
      <w:pPr>
        <w:rPr>
          <w:rFonts w:hint="eastAsia"/>
        </w:rPr>
      </w:pPr>
    </w:p>
    <w:p>
      <w:pPr>
        <w:pStyle w:val="2"/>
        <w:ind w:firstLine="0" w:firstLineChars="0"/>
        <w:jc w:val="center"/>
        <w:rPr>
          <w:rFonts w:hint="eastAsia" w:eastAsia="宋体"/>
          <w:b/>
          <w:bCs/>
          <w:color w:val="000000" w:themeColor="text1"/>
          <w:sz w:val="36"/>
          <w:szCs w:val="44"/>
          <w:lang w:eastAsia="zh-CN"/>
          <w14:textFill>
            <w14:solidFill>
              <w14:schemeClr w14:val="tx1"/>
            </w14:solidFill>
          </w14:textFill>
        </w:rPr>
      </w:pPr>
      <w:r>
        <w:rPr>
          <w:rFonts w:hint="eastAsia"/>
          <w:b/>
          <w:bCs/>
          <w:color w:val="000000" w:themeColor="text1"/>
          <w:sz w:val="52"/>
          <w:szCs w:val="52"/>
          <w:lang w:eastAsia="zh-CN"/>
          <w14:textFill>
            <w14:solidFill>
              <w14:schemeClr w14:val="tx1"/>
            </w14:solidFill>
          </w14:textFill>
        </w:rPr>
        <w:t>无线耳机采购项目</w:t>
      </w:r>
    </w:p>
    <w:p>
      <w:pPr>
        <w:pStyle w:val="4"/>
        <w:rPr>
          <w:color w:val="000000" w:themeColor="text1"/>
          <w14:textFill>
            <w14:solidFill>
              <w14:schemeClr w14:val="tx1"/>
            </w14:solidFill>
          </w14:textFill>
        </w:rPr>
      </w:pPr>
    </w:p>
    <w:p>
      <w:pPr>
        <w:pStyle w:val="4"/>
        <w:rPr>
          <w:color w:val="000000" w:themeColor="text1"/>
          <w14:textFill>
            <w14:solidFill>
              <w14:schemeClr w14:val="tx1"/>
            </w14:solidFill>
          </w14:textFill>
        </w:rPr>
      </w:pPr>
    </w:p>
    <w:p>
      <w:pPr>
        <w:spacing w:before="156"/>
        <w:jc w:val="center"/>
        <w:rPr>
          <w:rFonts w:ascii="宋体" w:hAnsi="宋体" w:cs="宋体"/>
          <w:b/>
          <w:color w:val="000000" w:themeColor="text1"/>
          <w:sz w:val="72"/>
          <w:szCs w:val="72"/>
          <w14:textFill>
            <w14:solidFill>
              <w14:schemeClr w14:val="tx1"/>
            </w14:solidFill>
          </w14:textFill>
        </w:rPr>
      </w:pPr>
      <w:r>
        <w:rPr>
          <w:rFonts w:hint="eastAsia" w:ascii="宋体" w:hAnsi="宋体" w:cs="宋体"/>
          <w:b/>
          <w:color w:val="000000" w:themeColor="text1"/>
          <w:sz w:val="72"/>
          <w:szCs w:val="72"/>
          <w:lang w:eastAsia="zh-CN"/>
          <w14:textFill>
            <w14:solidFill>
              <w14:schemeClr w14:val="tx1"/>
            </w14:solidFill>
          </w14:textFill>
        </w:rPr>
        <w:t>竞争性谈判采购</w:t>
      </w:r>
      <w:r>
        <w:rPr>
          <w:rFonts w:ascii="宋体" w:hAnsi="宋体" w:cs="宋体"/>
          <w:b/>
          <w:color w:val="000000" w:themeColor="text1"/>
          <w:sz w:val="72"/>
          <w:szCs w:val="72"/>
          <w14:textFill>
            <w14:solidFill>
              <w14:schemeClr w14:val="tx1"/>
            </w14:solidFill>
          </w14:textFill>
        </w:rPr>
        <w:t>文件</w:t>
      </w:r>
    </w:p>
    <w:p>
      <w:pPr>
        <w:pStyle w:val="4"/>
        <w:rPr>
          <w:color w:val="000000" w:themeColor="text1"/>
          <w14:textFill>
            <w14:solidFill>
              <w14:schemeClr w14:val="tx1"/>
            </w14:solidFill>
          </w14:textFill>
        </w:rPr>
      </w:pPr>
    </w:p>
    <w:p>
      <w:pPr>
        <w:pStyle w:val="4"/>
        <w:ind w:left="0"/>
        <w:rPr>
          <w:color w:val="000000" w:themeColor="text1"/>
          <w14:textFill>
            <w14:solidFill>
              <w14:schemeClr w14:val="tx1"/>
            </w14:solidFill>
          </w14:textFill>
        </w:rPr>
      </w:pPr>
    </w:p>
    <w:p>
      <w:pPr>
        <w:pStyle w:val="4"/>
        <w:rPr>
          <w:color w:val="000000" w:themeColor="text1"/>
          <w14:textFill>
            <w14:solidFill>
              <w14:schemeClr w14:val="tx1"/>
            </w14:solidFill>
          </w14:textFill>
        </w:rPr>
      </w:pPr>
    </w:p>
    <w:p>
      <w:pPr>
        <w:pStyle w:val="35"/>
        <w:ind w:left="0" w:firstLine="0"/>
        <w:rPr>
          <w:color w:val="000000" w:themeColor="text1"/>
          <w14:textFill>
            <w14:solidFill>
              <w14:schemeClr w14:val="tx1"/>
            </w14:solidFill>
          </w14:textFill>
        </w:rPr>
      </w:pPr>
    </w:p>
    <w:p>
      <w:pPr>
        <w:pStyle w:val="35"/>
        <w:ind w:left="0" w:firstLine="0"/>
        <w:rPr>
          <w:color w:val="000000" w:themeColor="text1"/>
          <w14:textFill>
            <w14:solidFill>
              <w14:schemeClr w14:val="tx1"/>
            </w14:solidFill>
          </w14:textFill>
        </w:rPr>
      </w:pPr>
    </w:p>
    <w:p>
      <w:pPr>
        <w:pStyle w:val="35"/>
        <w:ind w:left="0" w:firstLine="0"/>
        <w:rPr>
          <w:color w:val="000000" w:themeColor="text1"/>
          <w14:textFill>
            <w14:solidFill>
              <w14:schemeClr w14:val="tx1"/>
            </w14:solidFill>
          </w14:textFill>
        </w:rPr>
      </w:pPr>
    </w:p>
    <w:p>
      <w:pPr>
        <w:pStyle w:val="44"/>
        <w:snapToGrid w:val="0"/>
        <w:spacing w:before="50" w:line="560" w:lineRule="exact"/>
        <w:ind w:firstLine="602" w:firstLineChars="200"/>
        <w:rPr>
          <w:rFonts w:hint="eastAsia" w:eastAsia="宋体" w:cs="宋体"/>
          <w:b/>
          <w:bCs/>
          <w:color w:val="000000" w:themeColor="text1"/>
          <w:sz w:val="30"/>
          <w:szCs w:val="30"/>
          <w:lang w:eastAsia="zh-CN"/>
          <w14:textFill>
            <w14:solidFill>
              <w14:schemeClr w14:val="tx1"/>
            </w14:solidFill>
          </w14:textFill>
        </w:rPr>
      </w:pPr>
      <w:r>
        <w:rPr>
          <w:rFonts w:cs="宋体"/>
          <w:b/>
          <w:bCs/>
          <w:color w:val="000000" w:themeColor="text1"/>
          <w:sz w:val="30"/>
          <w:szCs w:val="30"/>
          <w14:textFill>
            <w14:solidFill>
              <w14:schemeClr w14:val="tx1"/>
            </w14:solidFill>
          </w14:textFill>
        </w:rPr>
        <w:t>项目编号：</w:t>
      </w:r>
      <w:r>
        <w:rPr>
          <w:rFonts w:hint="eastAsia" w:cs="宋体"/>
          <w:b/>
          <w:bCs/>
          <w:color w:val="000000" w:themeColor="text1"/>
          <w:sz w:val="30"/>
          <w:szCs w:val="30"/>
          <w:lang w:eastAsia="zh-CN"/>
          <w14:textFill>
            <w14:solidFill>
              <w14:schemeClr w14:val="tx1"/>
            </w14:solidFill>
          </w14:textFill>
        </w:rPr>
        <w:t>ZJGS2021-C018</w:t>
      </w:r>
    </w:p>
    <w:p>
      <w:pPr>
        <w:pStyle w:val="44"/>
        <w:snapToGrid w:val="0"/>
        <w:spacing w:before="50" w:line="560" w:lineRule="exact"/>
        <w:ind w:left="2107" w:leftChars="286" w:hanging="1506" w:hangingChars="500"/>
        <w:rPr>
          <w:rFonts w:hint="eastAsia" w:eastAsia="宋体" w:cs="宋体"/>
          <w:b/>
          <w:bCs/>
          <w:color w:val="000000" w:themeColor="text1"/>
          <w:sz w:val="30"/>
          <w:szCs w:val="30"/>
          <w:lang w:eastAsia="zh-CN"/>
          <w14:textFill>
            <w14:solidFill>
              <w14:schemeClr w14:val="tx1"/>
            </w14:solidFill>
          </w14:textFill>
        </w:rPr>
      </w:pPr>
      <w:r>
        <w:rPr>
          <w:rFonts w:cs="宋体"/>
          <w:b/>
          <w:bCs/>
          <w:color w:val="000000" w:themeColor="text1"/>
          <w:sz w:val="30"/>
          <w:szCs w:val="30"/>
          <w14:textFill>
            <w14:solidFill>
              <w14:schemeClr w14:val="tx1"/>
            </w14:solidFill>
          </w14:textFill>
        </w:rPr>
        <w:t>项目名称：</w:t>
      </w:r>
      <w:r>
        <w:rPr>
          <w:rFonts w:hint="eastAsia" w:cs="宋体"/>
          <w:b/>
          <w:bCs/>
          <w:color w:val="000000" w:themeColor="text1"/>
          <w:sz w:val="30"/>
          <w:szCs w:val="30"/>
          <w14:textFill>
            <w14:solidFill>
              <w14:schemeClr w14:val="tx1"/>
            </w14:solidFill>
          </w14:textFill>
        </w:rPr>
        <w:t>浙江广厦建设职业技术大学</w:t>
      </w:r>
      <w:r>
        <w:rPr>
          <w:rFonts w:hint="eastAsia" w:cs="宋体"/>
          <w:b/>
          <w:bCs/>
          <w:color w:val="000000" w:themeColor="text1"/>
          <w:sz w:val="30"/>
          <w:szCs w:val="30"/>
          <w:lang w:eastAsia="zh-CN"/>
          <w14:textFill>
            <w14:solidFill>
              <w14:schemeClr w14:val="tx1"/>
            </w14:solidFill>
          </w14:textFill>
        </w:rPr>
        <w:t>无线耳机采购项目</w:t>
      </w:r>
    </w:p>
    <w:p>
      <w:pPr>
        <w:pStyle w:val="44"/>
        <w:snapToGrid w:val="0"/>
        <w:spacing w:before="50" w:line="560" w:lineRule="exact"/>
        <w:ind w:firstLine="602" w:firstLineChars="200"/>
        <w:rPr>
          <w:rFonts w:cs="宋体"/>
          <w:b/>
          <w:bCs/>
          <w:color w:val="000000" w:themeColor="text1"/>
          <w:sz w:val="30"/>
          <w:szCs w:val="30"/>
          <w14:textFill>
            <w14:solidFill>
              <w14:schemeClr w14:val="tx1"/>
            </w14:solidFill>
          </w14:textFill>
        </w:rPr>
      </w:pPr>
      <w:r>
        <w:rPr>
          <w:rFonts w:cs="宋体"/>
          <w:b/>
          <w:bCs/>
          <w:color w:val="000000" w:themeColor="text1"/>
          <w:sz w:val="30"/>
          <w:szCs w:val="30"/>
          <w14:textFill>
            <w14:solidFill>
              <w14:schemeClr w14:val="tx1"/>
            </w14:solidFill>
          </w14:textFill>
        </w:rPr>
        <w:t>采购单位：浙江广厦建设职业技术大学</w:t>
      </w:r>
    </w:p>
    <w:p>
      <w:pPr>
        <w:pStyle w:val="44"/>
        <w:snapToGrid w:val="0"/>
        <w:spacing w:before="50" w:line="560" w:lineRule="exact"/>
        <w:jc w:val="center"/>
        <w:rPr>
          <w:rFonts w:cs="宋体"/>
          <w:b/>
          <w:bCs/>
          <w:color w:val="000000" w:themeColor="text1"/>
          <w:sz w:val="30"/>
          <w:szCs w:val="30"/>
          <w14:textFill>
            <w14:solidFill>
              <w14:schemeClr w14:val="tx1"/>
            </w14:solidFill>
          </w14:textFill>
        </w:rPr>
      </w:pPr>
    </w:p>
    <w:p>
      <w:pPr>
        <w:pStyle w:val="44"/>
        <w:snapToGrid w:val="0"/>
        <w:spacing w:before="50" w:line="560" w:lineRule="exact"/>
        <w:jc w:val="center"/>
        <w:rPr>
          <w:rFonts w:cs="宋体"/>
          <w:b/>
          <w:bCs/>
          <w:color w:val="000000" w:themeColor="text1"/>
          <w:sz w:val="30"/>
          <w:szCs w:val="30"/>
          <w14:textFill>
            <w14:solidFill>
              <w14:schemeClr w14:val="tx1"/>
            </w14:solidFill>
          </w14:textFill>
        </w:rPr>
      </w:pPr>
      <w:r>
        <w:rPr>
          <w:rFonts w:hint="eastAsia" w:cs="宋体"/>
          <w:b/>
          <w:bCs/>
          <w:color w:val="000000" w:themeColor="text1"/>
          <w:sz w:val="30"/>
          <w:szCs w:val="30"/>
          <w:lang w:eastAsia="zh-CN"/>
          <w14:textFill>
            <w14:solidFill>
              <w14:schemeClr w14:val="tx1"/>
            </w14:solidFill>
          </w14:textFill>
        </w:rPr>
        <w:t>2021年11月1</w:t>
      </w:r>
      <w:r>
        <w:rPr>
          <w:rFonts w:hint="eastAsia" w:cs="宋体"/>
          <w:b/>
          <w:bCs/>
          <w:color w:val="000000" w:themeColor="text1"/>
          <w:sz w:val="30"/>
          <w:szCs w:val="30"/>
          <w:lang w:val="en-US" w:eastAsia="zh-CN"/>
          <w14:textFill>
            <w14:solidFill>
              <w14:schemeClr w14:val="tx1"/>
            </w14:solidFill>
          </w14:textFill>
        </w:rPr>
        <w:t>7</w:t>
      </w:r>
      <w:r>
        <w:rPr>
          <w:rFonts w:hint="eastAsia" w:cs="宋体"/>
          <w:b/>
          <w:bCs/>
          <w:color w:val="000000" w:themeColor="text1"/>
          <w:sz w:val="30"/>
          <w:szCs w:val="30"/>
          <w:lang w:eastAsia="zh-CN"/>
          <w14:textFill>
            <w14:solidFill>
              <w14:schemeClr w14:val="tx1"/>
            </w14:solidFill>
          </w14:textFill>
        </w:rPr>
        <w:t>日</w:t>
      </w:r>
      <w:r>
        <w:rPr>
          <w:color w:val="000000" w:themeColor="text1"/>
          <w14:textFill>
            <w14:solidFill>
              <w14:schemeClr w14:val="tx1"/>
            </w14:solidFill>
          </w14:textFill>
        </w:rPr>
        <w:br w:type="page"/>
      </w:r>
    </w:p>
    <w:p>
      <w:pPr>
        <w:pStyle w:val="44"/>
        <w:snapToGrid w:val="0"/>
        <w:spacing w:line="360" w:lineRule="auto"/>
        <w:jc w:val="center"/>
        <w:rPr>
          <w:rFonts w:ascii="黑体" w:hAnsi="黑体" w:eastAsia="黑体" w:cs="宋体"/>
          <w:color w:val="000000" w:themeColor="text1"/>
          <w:sz w:val="44"/>
          <w:szCs w:val="48"/>
          <w:highlight w:val="red"/>
          <w14:textFill>
            <w14:solidFill>
              <w14:schemeClr w14:val="tx1"/>
            </w14:solidFill>
          </w14:textFill>
        </w:rPr>
      </w:pPr>
      <w:r>
        <w:rPr>
          <w:rFonts w:ascii="黑体" w:hAnsi="黑体" w:eastAsia="黑体" w:cs="宋体"/>
          <w:color w:val="000000" w:themeColor="text1"/>
          <w:sz w:val="44"/>
          <w:szCs w:val="48"/>
          <w14:textFill>
            <w14:solidFill>
              <w14:schemeClr w14:val="tx1"/>
            </w14:solidFill>
          </w14:textFill>
        </w:rPr>
        <w:t>目录</w:t>
      </w:r>
    </w:p>
    <w:p>
      <w:pPr>
        <w:pStyle w:val="16"/>
        <w:tabs>
          <w:tab w:val="right" w:leader="dot" w:pos="9070"/>
        </w:tabs>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TOC \o "1-2" \h \z \u</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fldChar w:fldCharType="begin"/>
      </w:r>
      <w:r>
        <w:instrText xml:space="preserve"> HYPERLINK \l _Toc29436 </w:instrText>
      </w:r>
      <w:r>
        <w:fldChar w:fldCharType="separate"/>
      </w:r>
      <w:r>
        <w:t xml:space="preserve">第一章  </w:t>
      </w:r>
      <w:r>
        <w:rPr>
          <w:rFonts w:hint="eastAsia"/>
        </w:rPr>
        <w:t>竞争性谈判</w:t>
      </w:r>
      <w:r>
        <w:t>公告</w:t>
      </w:r>
      <w:r>
        <w:tab/>
      </w:r>
      <w:r>
        <w:fldChar w:fldCharType="begin"/>
      </w:r>
      <w:r>
        <w:instrText xml:space="preserve"> PAGEREF _Toc29436 \h </w:instrText>
      </w:r>
      <w:r>
        <w:fldChar w:fldCharType="separate"/>
      </w:r>
      <w:r>
        <w:t>3</w:t>
      </w:r>
      <w:r>
        <w:fldChar w:fldCharType="end"/>
      </w:r>
      <w:r>
        <w:rPr>
          <w:color w:val="000000" w:themeColor="text1"/>
          <w14:textFill>
            <w14:solidFill>
              <w14:schemeClr w14:val="tx1"/>
            </w14:solidFill>
          </w14:textFill>
        </w:rPr>
        <w:fldChar w:fldCharType="end"/>
      </w:r>
    </w:p>
    <w:p>
      <w:pPr>
        <w:pStyle w:val="16"/>
        <w:tabs>
          <w:tab w:val="right" w:leader="dot" w:pos="9070"/>
        </w:tabs>
      </w:pPr>
      <w:r>
        <w:rPr>
          <w:color w:val="000000" w:themeColor="text1"/>
          <w14:textFill>
            <w14:solidFill>
              <w14:schemeClr w14:val="tx1"/>
            </w14:solidFill>
          </w14:textFill>
        </w:rPr>
        <w:fldChar w:fldCharType="begin"/>
      </w:r>
      <w:r>
        <w:instrText xml:space="preserve"> HYPERLINK \l _Toc28700 </w:instrText>
      </w:r>
      <w:r>
        <w:fldChar w:fldCharType="separate"/>
      </w:r>
      <w:r>
        <w:rPr>
          <w:rFonts w:asciiTheme="majorEastAsia" w:hAnsiTheme="majorEastAsia" w:eastAsiaTheme="majorEastAsia"/>
          <w:szCs w:val="32"/>
        </w:rPr>
        <w:t xml:space="preserve">第二章  </w:t>
      </w:r>
      <w:r>
        <w:rPr>
          <w:rFonts w:hint="eastAsia" w:cs="宋体" w:asciiTheme="majorEastAsia" w:hAnsiTheme="majorEastAsia" w:eastAsiaTheme="majorEastAsia"/>
          <w:szCs w:val="32"/>
        </w:rPr>
        <w:t>采购项目需求</w:t>
      </w:r>
      <w:r>
        <w:tab/>
      </w:r>
      <w:r>
        <w:fldChar w:fldCharType="begin"/>
      </w:r>
      <w:r>
        <w:instrText xml:space="preserve"> PAGEREF _Toc28700 \h </w:instrText>
      </w:r>
      <w:r>
        <w:fldChar w:fldCharType="separate"/>
      </w:r>
      <w:r>
        <w:t>6</w:t>
      </w:r>
      <w:r>
        <w:fldChar w:fldCharType="end"/>
      </w:r>
      <w:r>
        <w:rPr>
          <w:color w:val="000000" w:themeColor="text1"/>
          <w14:textFill>
            <w14:solidFill>
              <w14:schemeClr w14:val="tx1"/>
            </w14:solidFill>
          </w14:textFill>
        </w:rPr>
        <w:fldChar w:fldCharType="end"/>
      </w:r>
    </w:p>
    <w:p>
      <w:pPr>
        <w:pStyle w:val="16"/>
        <w:tabs>
          <w:tab w:val="right" w:leader="dot" w:pos="9070"/>
        </w:tabs>
      </w:pPr>
      <w:r>
        <w:rPr>
          <w:color w:val="000000" w:themeColor="text1"/>
          <w14:textFill>
            <w14:solidFill>
              <w14:schemeClr w14:val="tx1"/>
            </w14:solidFill>
          </w14:textFill>
        </w:rPr>
        <w:fldChar w:fldCharType="begin"/>
      </w:r>
      <w:r>
        <w:instrText xml:space="preserve"> HYPERLINK \l _Toc9075 </w:instrText>
      </w:r>
      <w:r>
        <w:fldChar w:fldCharType="separate"/>
      </w:r>
      <w:r>
        <w:rPr>
          <w:rFonts w:asciiTheme="minorEastAsia" w:hAnsiTheme="minorEastAsia" w:eastAsiaTheme="minorEastAsia"/>
          <w:szCs w:val="32"/>
        </w:rPr>
        <w:t xml:space="preserve">第三章  </w:t>
      </w:r>
      <w:r>
        <w:rPr>
          <w:rFonts w:hint="eastAsia" w:asciiTheme="minorEastAsia" w:hAnsiTheme="minorEastAsia" w:eastAsiaTheme="minorEastAsia"/>
          <w:szCs w:val="32"/>
        </w:rPr>
        <w:t>竞争性谈判须知</w:t>
      </w:r>
      <w:r>
        <w:tab/>
      </w:r>
      <w:r>
        <w:fldChar w:fldCharType="begin"/>
      </w:r>
      <w:r>
        <w:instrText xml:space="preserve"> PAGEREF _Toc9075 \h </w:instrText>
      </w:r>
      <w:r>
        <w:fldChar w:fldCharType="separate"/>
      </w:r>
      <w:r>
        <w:t>8</w:t>
      </w:r>
      <w:r>
        <w:fldChar w:fldCharType="end"/>
      </w:r>
      <w:r>
        <w:rPr>
          <w:color w:val="000000" w:themeColor="text1"/>
          <w14:textFill>
            <w14:solidFill>
              <w14:schemeClr w14:val="tx1"/>
            </w14:solidFill>
          </w14:textFill>
        </w:rPr>
        <w:fldChar w:fldCharType="end"/>
      </w:r>
    </w:p>
    <w:p>
      <w:pPr>
        <w:pStyle w:val="16"/>
        <w:tabs>
          <w:tab w:val="right" w:leader="dot" w:pos="9070"/>
        </w:tabs>
      </w:pPr>
      <w:r>
        <w:rPr>
          <w:color w:val="000000" w:themeColor="text1"/>
          <w14:textFill>
            <w14:solidFill>
              <w14:schemeClr w14:val="tx1"/>
            </w14:solidFill>
          </w14:textFill>
        </w:rPr>
        <w:fldChar w:fldCharType="begin"/>
      </w:r>
      <w:r>
        <w:instrText xml:space="preserve"> HYPERLINK \l _Toc29622 </w:instrText>
      </w:r>
      <w:r>
        <w:fldChar w:fldCharType="separate"/>
      </w:r>
      <w:r>
        <w:rPr>
          <w:rFonts w:hint="eastAsia" w:ascii="宋体" w:hAnsi="宋体" w:cs="宋体"/>
          <w:szCs w:val="32"/>
        </w:rPr>
        <w:t>第五章 谈判方法和程序</w:t>
      </w:r>
      <w:r>
        <w:tab/>
      </w:r>
      <w:r>
        <w:fldChar w:fldCharType="begin"/>
      </w:r>
      <w:r>
        <w:instrText xml:space="preserve"> PAGEREF _Toc29622 \h </w:instrText>
      </w:r>
      <w:r>
        <w:fldChar w:fldCharType="separate"/>
      </w:r>
      <w:r>
        <w:t>14</w:t>
      </w:r>
      <w:r>
        <w:fldChar w:fldCharType="end"/>
      </w:r>
      <w:r>
        <w:rPr>
          <w:color w:val="000000" w:themeColor="text1"/>
          <w14:textFill>
            <w14:solidFill>
              <w14:schemeClr w14:val="tx1"/>
            </w14:solidFill>
          </w14:textFill>
        </w:rPr>
        <w:fldChar w:fldCharType="end"/>
      </w:r>
    </w:p>
    <w:p>
      <w:pPr>
        <w:pStyle w:val="16"/>
        <w:tabs>
          <w:tab w:val="right" w:leader="dot" w:pos="9070"/>
        </w:tabs>
      </w:pPr>
      <w:r>
        <w:rPr>
          <w:color w:val="000000" w:themeColor="text1"/>
          <w14:textFill>
            <w14:solidFill>
              <w14:schemeClr w14:val="tx1"/>
            </w14:solidFill>
          </w14:textFill>
        </w:rPr>
        <w:fldChar w:fldCharType="begin"/>
      </w:r>
      <w:r>
        <w:instrText xml:space="preserve"> HYPERLINK \l _Toc17605 </w:instrText>
      </w:r>
      <w:r>
        <w:fldChar w:fldCharType="separate"/>
      </w:r>
      <w:r>
        <w:rPr>
          <w:rFonts w:ascii="宋体" w:hAnsi="宋体" w:cs="宋体"/>
          <w:bCs/>
          <w:szCs w:val="32"/>
        </w:rPr>
        <w:t>第</w:t>
      </w:r>
      <w:r>
        <w:rPr>
          <w:rFonts w:hint="eastAsia" w:ascii="宋体" w:hAnsi="宋体" w:cs="宋体"/>
          <w:bCs/>
          <w:szCs w:val="32"/>
        </w:rPr>
        <w:t>六</w:t>
      </w:r>
      <w:r>
        <w:rPr>
          <w:rFonts w:ascii="宋体" w:hAnsi="宋体" w:cs="宋体"/>
          <w:bCs/>
          <w:szCs w:val="32"/>
        </w:rPr>
        <w:t>章  采购合同主要条款</w:t>
      </w:r>
      <w:r>
        <w:tab/>
      </w:r>
      <w:r>
        <w:fldChar w:fldCharType="begin"/>
      </w:r>
      <w:r>
        <w:instrText xml:space="preserve"> PAGEREF _Toc17605 \h </w:instrText>
      </w:r>
      <w:r>
        <w:fldChar w:fldCharType="separate"/>
      </w:r>
      <w:r>
        <w:t>17</w:t>
      </w:r>
      <w:r>
        <w:fldChar w:fldCharType="end"/>
      </w:r>
      <w:r>
        <w:rPr>
          <w:color w:val="000000" w:themeColor="text1"/>
          <w14:textFill>
            <w14:solidFill>
              <w14:schemeClr w14:val="tx1"/>
            </w14:solidFill>
          </w14:textFill>
        </w:rPr>
        <w:fldChar w:fldCharType="end"/>
      </w:r>
    </w:p>
    <w:p>
      <w:pPr>
        <w:pStyle w:val="18"/>
        <w:tabs>
          <w:tab w:val="right" w:leader="dot" w:pos="9070"/>
        </w:tabs>
      </w:pPr>
      <w:r>
        <w:rPr>
          <w:color w:val="000000" w:themeColor="text1"/>
          <w14:textFill>
            <w14:solidFill>
              <w14:schemeClr w14:val="tx1"/>
            </w14:solidFill>
          </w14:textFill>
        </w:rPr>
        <w:fldChar w:fldCharType="begin"/>
      </w:r>
      <w:r>
        <w:instrText xml:space="preserve"> HYPERLINK \l _Toc18948 </w:instrText>
      </w:r>
      <w:r>
        <w:fldChar w:fldCharType="separate"/>
      </w:r>
      <w:r>
        <w:rPr>
          <w:rFonts w:ascii="宋体" w:hAnsi="宋体" w:cs="宋体"/>
        </w:rPr>
        <w:t>采购合同（样本）</w:t>
      </w:r>
      <w:r>
        <w:tab/>
      </w:r>
      <w:r>
        <w:fldChar w:fldCharType="begin"/>
      </w:r>
      <w:r>
        <w:instrText xml:space="preserve"> PAGEREF _Toc18948 \h </w:instrText>
      </w:r>
      <w:r>
        <w:fldChar w:fldCharType="separate"/>
      </w:r>
      <w:r>
        <w:t>17</w:t>
      </w:r>
      <w:r>
        <w:fldChar w:fldCharType="end"/>
      </w:r>
      <w:r>
        <w:rPr>
          <w:color w:val="000000" w:themeColor="text1"/>
          <w14:textFill>
            <w14:solidFill>
              <w14:schemeClr w14:val="tx1"/>
            </w14:solidFill>
          </w14:textFill>
        </w:rPr>
        <w:fldChar w:fldCharType="end"/>
      </w:r>
    </w:p>
    <w:p>
      <w:pPr>
        <w:pStyle w:val="16"/>
        <w:tabs>
          <w:tab w:val="right" w:leader="dot" w:pos="9070"/>
        </w:tabs>
      </w:pPr>
      <w:r>
        <w:rPr>
          <w:color w:val="000000" w:themeColor="text1"/>
          <w14:textFill>
            <w14:solidFill>
              <w14:schemeClr w14:val="tx1"/>
            </w14:solidFill>
          </w14:textFill>
        </w:rPr>
        <w:fldChar w:fldCharType="begin"/>
      </w:r>
      <w:r>
        <w:instrText xml:space="preserve"> HYPERLINK \l _Toc22322 </w:instrText>
      </w:r>
      <w:r>
        <w:fldChar w:fldCharType="separate"/>
      </w:r>
      <w:r>
        <w:rPr>
          <w:rFonts w:hint="eastAsia" w:ascii="宋体" w:hAnsi="宋体" w:cs="宋体"/>
          <w:szCs w:val="32"/>
        </w:rPr>
        <w:t>第七章  谈判响应文件附件格式</w:t>
      </w:r>
      <w:r>
        <w:tab/>
      </w:r>
      <w:r>
        <w:fldChar w:fldCharType="begin"/>
      </w:r>
      <w:r>
        <w:instrText xml:space="preserve"> PAGEREF _Toc22322 \h </w:instrText>
      </w:r>
      <w:r>
        <w:fldChar w:fldCharType="separate"/>
      </w:r>
      <w:r>
        <w:t>21</w:t>
      </w:r>
      <w:r>
        <w:fldChar w:fldCharType="end"/>
      </w:r>
      <w:r>
        <w:rPr>
          <w:color w:val="000000" w:themeColor="text1"/>
          <w14:textFill>
            <w14:solidFill>
              <w14:schemeClr w14:val="tx1"/>
            </w14:solidFill>
          </w14:textFill>
        </w:rPr>
        <w:fldChar w:fldCharType="end"/>
      </w:r>
    </w:p>
    <w:p>
      <w:pPr>
        <w:pStyle w:val="18"/>
        <w:tabs>
          <w:tab w:val="right" w:leader="dot" w:pos="9070"/>
        </w:tabs>
      </w:pPr>
      <w:r>
        <w:rPr>
          <w:color w:val="000000" w:themeColor="text1"/>
          <w14:textFill>
            <w14:solidFill>
              <w14:schemeClr w14:val="tx1"/>
            </w14:solidFill>
          </w14:textFill>
        </w:rPr>
        <w:fldChar w:fldCharType="begin"/>
      </w:r>
      <w:r>
        <w:instrText xml:space="preserve"> HYPERLINK \l _Toc1620 </w:instrText>
      </w:r>
      <w:r>
        <w:fldChar w:fldCharType="separate"/>
      </w:r>
      <w:r>
        <w:rPr>
          <w:rFonts w:hint="eastAsia" w:ascii="宋体" w:hAnsi="宋体" w:cs="宋体"/>
          <w:bCs/>
          <w:szCs w:val="32"/>
        </w:rPr>
        <w:t>附件一：投 标 书</w:t>
      </w:r>
      <w:r>
        <w:tab/>
      </w:r>
      <w:r>
        <w:fldChar w:fldCharType="begin"/>
      </w:r>
      <w:r>
        <w:instrText xml:space="preserve"> PAGEREF _Toc1620 \h </w:instrText>
      </w:r>
      <w:r>
        <w:fldChar w:fldCharType="separate"/>
      </w:r>
      <w:r>
        <w:t>21</w:t>
      </w:r>
      <w:r>
        <w:fldChar w:fldCharType="end"/>
      </w:r>
      <w:r>
        <w:rPr>
          <w:color w:val="000000" w:themeColor="text1"/>
          <w14:textFill>
            <w14:solidFill>
              <w14:schemeClr w14:val="tx1"/>
            </w14:solidFill>
          </w14:textFill>
        </w:rPr>
        <w:fldChar w:fldCharType="end"/>
      </w:r>
    </w:p>
    <w:p>
      <w:pPr>
        <w:pStyle w:val="18"/>
        <w:tabs>
          <w:tab w:val="right" w:leader="dot" w:pos="9070"/>
        </w:tabs>
      </w:pPr>
      <w:r>
        <w:rPr>
          <w:color w:val="000000" w:themeColor="text1"/>
          <w14:textFill>
            <w14:solidFill>
              <w14:schemeClr w14:val="tx1"/>
            </w14:solidFill>
          </w14:textFill>
        </w:rPr>
        <w:fldChar w:fldCharType="begin"/>
      </w:r>
      <w:r>
        <w:instrText xml:space="preserve"> HYPERLINK \l _Toc11424 </w:instrText>
      </w:r>
      <w:r>
        <w:fldChar w:fldCharType="separate"/>
      </w:r>
      <w:r>
        <w:rPr>
          <w:rFonts w:hint="eastAsia" w:ascii="宋体" w:hAnsi="宋体" w:cs="宋体"/>
          <w:bCs/>
          <w:szCs w:val="32"/>
        </w:rPr>
        <w:t>附件</w:t>
      </w:r>
      <w:r>
        <w:rPr>
          <w:rFonts w:hint="eastAsia" w:ascii="宋体" w:hAnsi="宋体" w:cs="宋体"/>
          <w:kern w:val="0"/>
        </w:rPr>
        <w:t>二</w:t>
      </w:r>
      <w:r>
        <w:rPr>
          <w:rFonts w:hint="eastAsia" w:ascii="宋体" w:hAnsi="宋体" w:cs="宋体"/>
          <w:bCs/>
          <w:szCs w:val="32"/>
        </w:rPr>
        <w:t>：初次报价表</w:t>
      </w:r>
      <w:r>
        <w:tab/>
      </w:r>
      <w:r>
        <w:fldChar w:fldCharType="begin"/>
      </w:r>
      <w:r>
        <w:instrText xml:space="preserve"> PAGEREF _Toc11424 \h </w:instrText>
      </w:r>
      <w:r>
        <w:fldChar w:fldCharType="separate"/>
      </w:r>
      <w:r>
        <w:t>22</w:t>
      </w:r>
      <w:r>
        <w:fldChar w:fldCharType="end"/>
      </w:r>
      <w:r>
        <w:rPr>
          <w:color w:val="000000" w:themeColor="text1"/>
          <w14:textFill>
            <w14:solidFill>
              <w14:schemeClr w14:val="tx1"/>
            </w14:solidFill>
          </w14:textFill>
        </w:rPr>
        <w:fldChar w:fldCharType="end"/>
      </w:r>
    </w:p>
    <w:p>
      <w:pPr>
        <w:pStyle w:val="18"/>
        <w:tabs>
          <w:tab w:val="right" w:leader="dot" w:pos="9070"/>
        </w:tabs>
      </w:pPr>
      <w:r>
        <w:rPr>
          <w:color w:val="000000" w:themeColor="text1"/>
          <w14:textFill>
            <w14:solidFill>
              <w14:schemeClr w14:val="tx1"/>
            </w14:solidFill>
          </w14:textFill>
        </w:rPr>
        <w:fldChar w:fldCharType="begin"/>
      </w:r>
      <w:r>
        <w:instrText xml:space="preserve"> HYPERLINK \l _Toc14232 </w:instrText>
      </w:r>
      <w:r>
        <w:fldChar w:fldCharType="separate"/>
      </w:r>
      <w:r>
        <w:rPr>
          <w:rFonts w:hint="eastAsia" w:ascii="宋体" w:hAnsi="宋体" w:cs="宋体"/>
          <w:bCs/>
          <w:szCs w:val="32"/>
        </w:rPr>
        <w:t>附件三：法定代表人授权书</w:t>
      </w:r>
      <w:r>
        <w:tab/>
      </w:r>
      <w:r>
        <w:fldChar w:fldCharType="begin"/>
      </w:r>
      <w:r>
        <w:instrText xml:space="preserve"> PAGEREF _Toc14232 \h </w:instrText>
      </w:r>
      <w:r>
        <w:fldChar w:fldCharType="separate"/>
      </w:r>
      <w:r>
        <w:t>23</w:t>
      </w:r>
      <w:r>
        <w:fldChar w:fldCharType="end"/>
      </w:r>
      <w:r>
        <w:rPr>
          <w:color w:val="000000" w:themeColor="text1"/>
          <w14:textFill>
            <w14:solidFill>
              <w14:schemeClr w14:val="tx1"/>
            </w14:solidFill>
          </w14:textFill>
        </w:rPr>
        <w:fldChar w:fldCharType="end"/>
      </w:r>
    </w:p>
    <w:p>
      <w:pPr>
        <w:pStyle w:val="18"/>
        <w:tabs>
          <w:tab w:val="right" w:leader="dot" w:pos="9070"/>
        </w:tabs>
      </w:pPr>
      <w:r>
        <w:rPr>
          <w:color w:val="000000" w:themeColor="text1"/>
          <w14:textFill>
            <w14:solidFill>
              <w14:schemeClr w14:val="tx1"/>
            </w14:solidFill>
          </w14:textFill>
        </w:rPr>
        <w:fldChar w:fldCharType="begin"/>
      </w:r>
      <w:r>
        <w:instrText xml:space="preserve"> HYPERLINK \l _Toc4685 </w:instrText>
      </w:r>
      <w:r>
        <w:fldChar w:fldCharType="separate"/>
      </w:r>
      <w:r>
        <w:rPr>
          <w:rFonts w:hint="eastAsia" w:ascii="宋体" w:hAnsi="宋体" w:cs="宋体"/>
          <w:bCs/>
          <w:kern w:val="0"/>
          <w:szCs w:val="21"/>
        </w:rPr>
        <w:t>附件四：诚信承诺书</w:t>
      </w:r>
      <w:r>
        <w:tab/>
      </w:r>
      <w:r>
        <w:fldChar w:fldCharType="begin"/>
      </w:r>
      <w:r>
        <w:instrText xml:space="preserve"> PAGEREF _Toc4685 \h </w:instrText>
      </w:r>
      <w:r>
        <w:fldChar w:fldCharType="separate"/>
      </w:r>
      <w:r>
        <w:t>24</w:t>
      </w:r>
      <w:r>
        <w:fldChar w:fldCharType="end"/>
      </w:r>
      <w:r>
        <w:rPr>
          <w:color w:val="000000" w:themeColor="text1"/>
          <w14:textFill>
            <w14:solidFill>
              <w14:schemeClr w14:val="tx1"/>
            </w14:solidFill>
          </w14:textFill>
        </w:rPr>
        <w:fldChar w:fldCharType="end"/>
      </w:r>
    </w:p>
    <w:p>
      <w:pPr>
        <w:pStyle w:val="18"/>
        <w:tabs>
          <w:tab w:val="right" w:leader="dot" w:pos="9070"/>
        </w:tabs>
      </w:pPr>
      <w:r>
        <w:rPr>
          <w:color w:val="000000" w:themeColor="text1"/>
          <w14:textFill>
            <w14:solidFill>
              <w14:schemeClr w14:val="tx1"/>
            </w14:solidFill>
          </w14:textFill>
        </w:rPr>
        <w:fldChar w:fldCharType="begin"/>
      </w:r>
      <w:r>
        <w:instrText xml:space="preserve"> HYPERLINK \l _Toc28614 </w:instrText>
      </w:r>
      <w:r>
        <w:fldChar w:fldCharType="separate"/>
      </w:r>
      <w:r>
        <w:rPr>
          <w:rFonts w:hint="eastAsia" w:hAnsi="宋体"/>
        </w:rPr>
        <w:t>附件五 商务、技术响应表</w:t>
      </w:r>
      <w:r>
        <w:tab/>
      </w:r>
      <w:r>
        <w:fldChar w:fldCharType="begin"/>
      </w:r>
      <w:r>
        <w:instrText xml:space="preserve"> PAGEREF _Toc28614 \h </w:instrText>
      </w:r>
      <w:r>
        <w:fldChar w:fldCharType="separate"/>
      </w:r>
      <w:r>
        <w:t>25</w:t>
      </w:r>
      <w:r>
        <w:fldChar w:fldCharType="end"/>
      </w:r>
      <w:r>
        <w:rPr>
          <w:color w:val="000000" w:themeColor="text1"/>
          <w14:textFill>
            <w14:solidFill>
              <w14:schemeClr w14:val="tx1"/>
            </w14:solidFill>
          </w14:textFill>
        </w:rPr>
        <w:fldChar w:fldCharType="end"/>
      </w:r>
    </w:p>
    <w:p>
      <w:pPr>
        <w:pStyle w:val="18"/>
        <w:tabs>
          <w:tab w:val="right" w:leader="dot" w:pos="9070"/>
        </w:tabs>
      </w:pPr>
      <w:r>
        <w:rPr>
          <w:color w:val="000000" w:themeColor="text1"/>
          <w14:textFill>
            <w14:solidFill>
              <w14:schemeClr w14:val="tx1"/>
            </w14:solidFill>
          </w14:textFill>
        </w:rPr>
        <w:fldChar w:fldCharType="begin"/>
      </w:r>
      <w:r>
        <w:instrText xml:space="preserve"> HYPERLINK \l _Toc11586 </w:instrText>
      </w:r>
      <w:r>
        <w:fldChar w:fldCharType="separate"/>
      </w:r>
      <w:r>
        <w:rPr>
          <w:rFonts w:hint="eastAsia" w:hAnsi="宋体"/>
        </w:rPr>
        <w:t>附件</w:t>
      </w:r>
      <w:r>
        <w:rPr>
          <w:rFonts w:hint="eastAsia" w:hAnsi="宋体"/>
          <w:lang w:eastAsia="zh-CN"/>
        </w:rPr>
        <w:t>六</w:t>
      </w:r>
      <w:r>
        <w:rPr>
          <w:rFonts w:hint="eastAsia" w:hAnsi="宋体"/>
        </w:rPr>
        <w:t xml:space="preserve"> </w:t>
      </w:r>
      <w:r>
        <w:rPr>
          <w:rFonts w:hint="eastAsia" w:hAnsi="宋体"/>
          <w:lang w:eastAsia="zh-CN"/>
        </w:rPr>
        <w:t>供货及投标报价表</w:t>
      </w:r>
      <w:r>
        <w:tab/>
      </w:r>
      <w:r>
        <w:fldChar w:fldCharType="begin"/>
      </w:r>
      <w:r>
        <w:instrText xml:space="preserve"> PAGEREF _Toc11586 \h </w:instrText>
      </w:r>
      <w:r>
        <w:fldChar w:fldCharType="separate"/>
      </w:r>
      <w:r>
        <w:t>26</w:t>
      </w:r>
      <w:r>
        <w:fldChar w:fldCharType="end"/>
      </w:r>
      <w:r>
        <w:rPr>
          <w:color w:val="000000" w:themeColor="text1"/>
          <w14:textFill>
            <w14:solidFill>
              <w14:schemeClr w14:val="tx1"/>
            </w14:solidFill>
          </w14:textFill>
        </w:rPr>
        <w:fldChar w:fldCharType="end"/>
      </w:r>
    </w:p>
    <w:p>
      <w:pPr>
        <w:pStyle w:val="18"/>
        <w:tabs>
          <w:tab w:val="right" w:leader="dot" w:pos="9070"/>
        </w:tabs>
      </w:pPr>
      <w:r>
        <w:rPr>
          <w:color w:val="000000" w:themeColor="text1"/>
          <w14:textFill>
            <w14:solidFill>
              <w14:schemeClr w14:val="tx1"/>
            </w14:solidFill>
          </w14:textFill>
        </w:rPr>
        <w:fldChar w:fldCharType="begin"/>
      </w:r>
      <w:r>
        <w:instrText xml:space="preserve"> HYPERLINK \l _Toc22278 </w:instrText>
      </w:r>
      <w:r>
        <w:fldChar w:fldCharType="separate"/>
      </w:r>
      <w:r>
        <w:rPr>
          <w:rFonts w:hint="eastAsia" w:hAnsi="宋体"/>
        </w:rPr>
        <w:t>附件</w:t>
      </w:r>
      <w:r>
        <w:rPr>
          <w:rFonts w:hint="eastAsia" w:hAnsi="宋体"/>
          <w:lang w:eastAsia="zh-CN"/>
        </w:rPr>
        <w:t>七</w:t>
      </w:r>
      <w:r>
        <w:rPr>
          <w:rFonts w:hint="eastAsia" w:hAnsi="宋体"/>
        </w:rPr>
        <w:t xml:space="preserve"> </w:t>
      </w:r>
      <w:r>
        <w:rPr>
          <w:rFonts w:hint="eastAsia" w:hAnsi="宋体"/>
          <w:lang w:eastAsia="zh-CN"/>
        </w:rPr>
        <w:t>生产厂商授权书</w:t>
      </w:r>
      <w:r>
        <w:tab/>
      </w:r>
      <w:r>
        <w:fldChar w:fldCharType="begin"/>
      </w:r>
      <w:r>
        <w:instrText xml:space="preserve"> PAGEREF _Toc22278 \h </w:instrText>
      </w:r>
      <w:r>
        <w:fldChar w:fldCharType="separate"/>
      </w:r>
      <w:r>
        <w:t>26</w:t>
      </w:r>
      <w:r>
        <w:fldChar w:fldCharType="end"/>
      </w:r>
      <w:r>
        <w:rPr>
          <w:color w:val="000000" w:themeColor="text1"/>
          <w14:textFill>
            <w14:solidFill>
              <w14:schemeClr w14:val="tx1"/>
            </w14:solidFill>
          </w14:textFill>
        </w:rPr>
        <w:fldChar w:fldCharType="end"/>
      </w:r>
    </w:p>
    <w:p>
      <w:pPr>
        <w:pStyle w:val="18"/>
        <w:tabs>
          <w:tab w:val="right" w:leader="dot" w:pos="9070"/>
        </w:tabs>
      </w:pPr>
      <w:r>
        <w:rPr>
          <w:color w:val="000000" w:themeColor="text1"/>
          <w14:textFill>
            <w14:solidFill>
              <w14:schemeClr w14:val="tx1"/>
            </w14:solidFill>
          </w14:textFill>
        </w:rPr>
        <w:fldChar w:fldCharType="begin"/>
      </w:r>
      <w:r>
        <w:instrText xml:space="preserve"> HYPERLINK \l _Toc18243 </w:instrText>
      </w:r>
      <w:r>
        <w:fldChar w:fldCharType="separate"/>
      </w:r>
      <w:r>
        <w:rPr>
          <w:rFonts w:ascii="宋体" w:hAnsi="宋体" w:cs="宋体"/>
        </w:rPr>
        <w:t>附件</w:t>
      </w:r>
      <w:r>
        <w:rPr>
          <w:rFonts w:hint="eastAsia" w:ascii="宋体" w:hAnsi="宋体" w:cs="宋体"/>
          <w:lang w:eastAsia="zh-CN"/>
        </w:rPr>
        <w:t>八</w:t>
      </w:r>
      <w:r>
        <w:rPr>
          <w:rFonts w:ascii="宋体" w:hAnsi="宋体" w:cs="宋体"/>
        </w:rPr>
        <w:t>：同类项目业绩证明</w:t>
      </w:r>
      <w:r>
        <w:tab/>
      </w:r>
      <w:r>
        <w:fldChar w:fldCharType="begin"/>
      </w:r>
      <w:r>
        <w:instrText xml:space="preserve"> PAGEREF _Toc18243 \h </w:instrText>
      </w:r>
      <w:r>
        <w:fldChar w:fldCharType="separate"/>
      </w:r>
      <w:r>
        <w:t>27</w:t>
      </w:r>
      <w:r>
        <w:fldChar w:fldCharType="end"/>
      </w:r>
      <w:r>
        <w:rPr>
          <w:color w:val="000000" w:themeColor="text1"/>
          <w14:textFill>
            <w14:solidFill>
              <w14:schemeClr w14:val="tx1"/>
            </w14:solidFill>
          </w14:textFill>
        </w:rPr>
        <w:fldChar w:fldCharType="end"/>
      </w:r>
    </w:p>
    <w:p>
      <w:pPr>
        <w:pStyle w:val="18"/>
        <w:tabs>
          <w:tab w:val="right" w:leader="dot" w:pos="9070"/>
        </w:tabs>
        <w:rPr>
          <w:color w:val="000000" w:themeColor="text1"/>
          <w14:textFill>
            <w14:solidFill>
              <w14:schemeClr w14:val="tx1"/>
            </w14:solidFill>
          </w14:textFill>
        </w:rPr>
      </w:pPr>
      <w:r>
        <w:rPr>
          <w:color w:val="000000" w:themeColor="text1"/>
          <w14:textFill>
            <w14:solidFill>
              <w14:schemeClr w14:val="tx1"/>
            </w14:solidFill>
          </w14:textFill>
        </w:rPr>
        <w:fldChar w:fldCharType="end"/>
      </w:r>
    </w:p>
    <w:p>
      <w:pPr>
        <w:pStyle w:val="44"/>
        <w:snapToGrid w:val="0"/>
        <w:spacing w:line="240" w:lineRule="auto"/>
        <w:jc w:val="center"/>
        <w:rPr>
          <w:rFonts w:ascii="黑体" w:hAnsi="黑体" w:eastAsia="黑体"/>
          <w:color w:val="000000" w:themeColor="text1"/>
          <w14:textFill>
            <w14:solidFill>
              <w14:schemeClr w14:val="tx1"/>
            </w14:solidFill>
          </w14:textFill>
        </w:rPr>
      </w:pPr>
    </w:p>
    <w:p>
      <w:pPr>
        <w:pStyle w:val="44"/>
        <w:snapToGrid w:val="0"/>
        <w:spacing w:line="240" w:lineRule="auto"/>
        <w:jc w:val="center"/>
        <w:rPr>
          <w:rFonts w:ascii="黑体" w:hAnsi="黑体" w:eastAsia="黑体"/>
          <w:color w:val="000000" w:themeColor="text1"/>
          <w14:textFill>
            <w14:solidFill>
              <w14:schemeClr w14:val="tx1"/>
            </w14:solidFill>
          </w14:textFill>
        </w:rPr>
      </w:pPr>
    </w:p>
    <w:p>
      <w:pPr>
        <w:pStyle w:val="44"/>
        <w:snapToGrid w:val="0"/>
        <w:spacing w:line="240" w:lineRule="auto"/>
        <w:jc w:val="center"/>
        <w:rPr>
          <w:rFonts w:ascii="黑体" w:hAnsi="黑体" w:eastAsia="黑体"/>
          <w:color w:val="000000" w:themeColor="text1"/>
          <w14:textFill>
            <w14:solidFill>
              <w14:schemeClr w14:val="tx1"/>
            </w14:solidFill>
          </w14:textFill>
        </w:rPr>
      </w:pPr>
    </w:p>
    <w:p>
      <w:pPr>
        <w:pStyle w:val="44"/>
        <w:snapToGrid w:val="0"/>
        <w:spacing w:line="240" w:lineRule="auto"/>
        <w:jc w:val="center"/>
        <w:rPr>
          <w:rFonts w:ascii="黑体" w:hAnsi="黑体" w:eastAsia="黑体"/>
          <w:color w:val="000000" w:themeColor="text1"/>
          <w14:textFill>
            <w14:solidFill>
              <w14:schemeClr w14:val="tx1"/>
            </w14:solidFill>
          </w14:textFill>
        </w:rPr>
      </w:pPr>
    </w:p>
    <w:p>
      <w:pPr>
        <w:pStyle w:val="44"/>
        <w:snapToGrid w:val="0"/>
        <w:spacing w:line="240" w:lineRule="auto"/>
        <w:jc w:val="center"/>
        <w:rPr>
          <w:rFonts w:ascii="黑体" w:hAnsi="黑体" w:eastAsia="黑体"/>
          <w:color w:val="000000" w:themeColor="text1"/>
          <w14:textFill>
            <w14:solidFill>
              <w14:schemeClr w14:val="tx1"/>
            </w14:solidFill>
          </w14:textFill>
        </w:rPr>
      </w:pPr>
    </w:p>
    <w:p>
      <w:pPr>
        <w:pStyle w:val="44"/>
        <w:snapToGrid w:val="0"/>
        <w:spacing w:line="240" w:lineRule="auto"/>
        <w:jc w:val="center"/>
        <w:rPr>
          <w:rFonts w:ascii="黑体" w:hAnsi="黑体" w:eastAsia="黑体"/>
          <w:color w:val="000000" w:themeColor="text1"/>
          <w14:textFill>
            <w14:solidFill>
              <w14:schemeClr w14:val="tx1"/>
            </w14:solidFill>
          </w14:textFill>
        </w:rPr>
      </w:pPr>
    </w:p>
    <w:p>
      <w:pPr>
        <w:pStyle w:val="44"/>
        <w:snapToGrid w:val="0"/>
        <w:spacing w:line="240" w:lineRule="auto"/>
        <w:jc w:val="center"/>
        <w:rPr>
          <w:rFonts w:ascii="黑体" w:hAnsi="黑体" w:eastAsia="黑体"/>
          <w:color w:val="000000" w:themeColor="text1"/>
          <w14:textFill>
            <w14:solidFill>
              <w14:schemeClr w14:val="tx1"/>
            </w14:solidFill>
          </w14:textFill>
        </w:rPr>
      </w:pPr>
    </w:p>
    <w:p>
      <w:pPr>
        <w:pStyle w:val="44"/>
        <w:snapToGrid w:val="0"/>
        <w:spacing w:line="240" w:lineRule="auto"/>
        <w:jc w:val="center"/>
        <w:rPr>
          <w:rFonts w:ascii="黑体" w:hAnsi="黑体" w:eastAsia="黑体"/>
          <w:color w:val="000000" w:themeColor="text1"/>
          <w14:textFill>
            <w14:solidFill>
              <w14:schemeClr w14:val="tx1"/>
            </w14:solidFill>
          </w14:textFill>
        </w:rPr>
      </w:pPr>
    </w:p>
    <w:p>
      <w:pPr>
        <w:pStyle w:val="44"/>
        <w:snapToGrid w:val="0"/>
        <w:spacing w:line="240" w:lineRule="auto"/>
        <w:jc w:val="center"/>
        <w:rPr>
          <w:rFonts w:ascii="黑体" w:hAnsi="黑体" w:eastAsia="黑体"/>
          <w:color w:val="000000" w:themeColor="text1"/>
          <w14:textFill>
            <w14:solidFill>
              <w14:schemeClr w14:val="tx1"/>
            </w14:solidFill>
          </w14:textFill>
        </w:rPr>
      </w:pPr>
    </w:p>
    <w:p>
      <w:pPr>
        <w:rPr>
          <w:rStyle w:val="39"/>
          <w:color w:val="000000" w:themeColor="text1"/>
          <w14:textFill>
            <w14:solidFill>
              <w14:schemeClr w14:val="tx1"/>
            </w14:solidFill>
          </w14:textFill>
        </w:rPr>
      </w:pPr>
      <w:r>
        <w:rPr>
          <w:rStyle w:val="39"/>
          <w:color w:val="000000" w:themeColor="text1"/>
          <w14:textFill>
            <w14:solidFill>
              <w14:schemeClr w14:val="tx1"/>
            </w14:solidFill>
          </w14:textFill>
        </w:rPr>
        <w:br w:type="page"/>
      </w:r>
    </w:p>
    <w:p>
      <w:pPr>
        <w:pStyle w:val="44"/>
        <w:snapToGrid w:val="0"/>
        <w:spacing w:line="240" w:lineRule="auto"/>
        <w:jc w:val="center"/>
        <w:outlineLvl w:val="0"/>
        <w:rPr>
          <w:rStyle w:val="39"/>
          <w:color w:val="000000" w:themeColor="text1"/>
          <w14:textFill>
            <w14:solidFill>
              <w14:schemeClr w14:val="tx1"/>
            </w14:solidFill>
          </w14:textFill>
        </w:rPr>
      </w:pPr>
      <w:bookmarkStart w:id="0" w:name="_Toc29436"/>
      <w:r>
        <w:rPr>
          <w:rStyle w:val="39"/>
          <w:color w:val="000000" w:themeColor="text1"/>
          <w14:textFill>
            <w14:solidFill>
              <w14:schemeClr w14:val="tx1"/>
            </w14:solidFill>
          </w14:textFill>
        </w:rPr>
        <w:t xml:space="preserve">第一章  </w:t>
      </w:r>
      <w:r>
        <w:rPr>
          <w:rStyle w:val="39"/>
          <w:rFonts w:hint="eastAsia"/>
          <w:color w:val="000000" w:themeColor="text1"/>
          <w14:textFill>
            <w14:solidFill>
              <w14:schemeClr w14:val="tx1"/>
            </w14:solidFill>
          </w14:textFill>
        </w:rPr>
        <w:t>竞争性谈判</w:t>
      </w:r>
      <w:r>
        <w:rPr>
          <w:rStyle w:val="39"/>
          <w:color w:val="000000" w:themeColor="text1"/>
          <w14:textFill>
            <w14:solidFill>
              <w14:schemeClr w14:val="tx1"/>
            </w14:solidFill>
          </w14:textFill>
        </w:rPr>
        <w:t>公告</w:t>
      </w:r>
      <w:bookmarkEnd w:id="0"/>
    </w:p>
    <w:p>
      <w:pPr>
        <w:spacing w:line="400" w:lineRule="exact"/>
        <w:rPr>
          <w:b/>
          <w:color w:val="000000" w:themeColor="text1"/>
          <w:sz w:val="24"/>
          <w:u w:val="single"/>
          <w14:textFill>
            <w14:solidFill>
              <w14:schemeClr w14:val="tx1"/>
            </w14:solidFill>
          </w14:textFill>
        </w:rPr>
      </w:pPr>
      <w:r>
        <w:rPr>
          <w:rFonts w:ascii="黑体" w:hAnsi="黑体" w:eastAsia="黑体" w:cs="黑体"/>
          <w:color w:val="000000" w:themeColor="text1"/>
          <w:sz w:val="30"/>
          <w:szCs w:val="30"/>
          <w14:textFill>
            <w14:solidFill>
              <w14:schemeClr w14:val="tx1"/>
            </w14:solidFill>
          </w14:textFill>
        </w:rPr>
        <w:t xml:space="preserve">   </w:t>
      </w:r>
      <w:r>
        <w:rPr>
          <w:color w:val="000000" w:themeColor="text1"/>
          <w:sz w:val="24"/>
          <w14:textFill>
            <w14:solidFill>
              <w14:schemeClr w14:val="tx1"/>
            </w14:solidFill>
          </w14:textFill>
        </w:rPr>
        <w:t> 根据《中华人民共和国政府采购法》、《浙江广厦建设职业技术大学招投标管理办法》等有关规定，现就</w:t>
      </w:r>
      <w:r>
        <w:rPr>
          <w:rFonts w:hint="eastAsia"/>
          <w:color w:val="000000" w:themeColor="text1"/>
          <w:sz w:val="24"/>
          <w14:textFill>
            <w14:solidFill>
              <w14:schemeClr w14:val="tx1"/>
            </w14:solidFill>
          </w14:textFill>
        </w:rPr>
        <w:t>浙江广厦建设职业技术大学</w:t>
      </w:r>
      <w:r>
        <w:rPr>
          <w:rFonts w:hint="eastAsia"/>
          <w:color w:val="000000" w:themeColor="text1"/>
          <w:sz w:val="24"/>
          <w:lang w:eastAsia="zh-CN"/>
          <w14:textFill>
            <w14:solidFill>
              <w14:schemeClr w14:val="tx1"/>
            </w14:solidFill>
          </w14:textFill>
        </w:rPr>
        <w:t>无线耳机采购项目</w:t>
      </w:r>
      <w:r>
        <w:rPr>
          <w:color w:val="000000" w:themeColor="text1"/>
          <w:sz w:val="24"/>
          <w14:textFill>
            <w14:solidFill>
              <w14:schemeClr w14:val="tx1"/>
            </w14:solidFill>
          </w14:textFill>
        </w:rPr>
        <w:t>进行</w:t>
      </w:r>
      <w:r>
        <w:rPr>
          <w:rFonts w:hint="eastAsia" w:ascii="宋体" w:hAnsi="宋体" w:cs="宋体"/>
          <w:sz w:val="24"/>
        </w:rPr>
        <w:t>采购事项公告如下。</w:t>
      </w:r>
    </w:p>
    <w:p>
      <w:pPr>
        <w:snapToGrid w:val="0"/>
        <w:spacing w:line="400" w:lineRule="exact"/>
        <w:ind w:firstLine="480"/>
        <w:rPr>
          <w:rFonts w:hint="eastAsia" w:ascii="宋体" w:hAnsi="宋体" w:eastAsia="宋体" w:cs="宋体"/>
          <w:color w:val="000000" w:themeColor="text1"/>
          <w:kern w:val="0"/>
          <w:sz w:val="24"/>
          <w:lang w:eastAsia="zh-CN"/>
          <w14:textFill>
            <w14:solidFill>
              <w14:schemeClr w14:val="tx1"/>
            </w14:solidFill>
          </w14:textFill>
        </w:rPr>
      </w:pPr>
      <w:r>
        <w:rPr>
          <w:rFonts w:ascii="宋体" w:hAnsi="宋体" w:cs="Arial"/>
          <w:color w:val="000000" w:themeColor="text1"/>
          <w:sz w:val="24"/>
          <w14:textFill>
            <w14:solidFill>
              <w14:schemeClr w14:val="tx1"/>
            </w14:solidFill>
          </w14:textFill>
        </w:rPr>
        <w:t>一、</w:t>
      </w:r>
      <w:r>
        <w:rPr>
          <w:rFonts w:ascii="宋体" w:hAnsi="宋体" w:cs="Arial"/>
          <w:b/>
          <w:bCs/>
          <w:color w:val="000000" w:themeColor="text1"/>
          <w:sz w:val="24"/>
          <w14:textFill>
            <w14:solidFill>
              <w14:schemeClr w14:val="tx1"/>
            </w14:solidFill>
          </w14:textFill>
        </w:rPr>
        <w:t>项目编号：</w:t>
      </w:r>
      <w:r>
        <w:rPr>
          <w:rFonts w:hint="eastAsia" w:ascii="宋体" w:hAnsi="宋体" w:cs="宋体"/>
          <w:color w:val="000000" w:themeColor="text1"/>
          <w:kern w:val="0"/>
          <w:sz w:val="24"/>
          <w:lang w:eastAsia="zh-CN"/>
          <w14:textFill>
            <w14:solidFill>
              <w14:schemeClr w14:val="tx1"/>
            </w14:solidFill>
          </w14:textFill>
        </w:rPr>
        <w:t>ZJGS2021-C018</w:t>
      </w:r>
    </w:p>
    <w:p>
      <w:pPr>
        <w:snapToGrid w:val="0"/>
        <w:spacing w:line="400" w:lineRule="exact"/>
        <w:ind w:firstLine="480"/>
        <w:rPr>
          <w:rFonts w:ascii="宋体" w:hAnsi="宋体" w:cs="Arial"/>
          <w:color w:val="000000" w:themeColor="text1"/>
          <w:sz w:val="24"/>
          <w:szCs w:val="20"/>
          <w14:textFill>
            <w14:solidFill>
              <w14:schemeClr w14:val="tx1"/>
            </w14:solidFill>
          </w14:textFill>
        </w:rPr>
      </w:pPr>
      <w:r>
        <w:rPr>
          <w:rFonts w:ascii="宋体" w:hAnsi="宋体" w:cs="Arial"/>
          <w:color w:val="000000" w:themeColor="text1"/>
          <w:sz w:val="24"/>
          <w14:textFill>
            <w14:solidFill>
              <w14:schemeClr w14:val="tx1"/>
            </w14:solidFill>
          </w14:textFill>
        </w:rPr>
        <w:t>二、</w:t>
      </w:r>
      <w:r>
        <w:rPr>
          <w:rFonts w:ascii="宋体" w:hAnsi="宋体" w:cs="Arial"/>
          <w:b/>
          <w:color w:val="000000" w:themeColor="text1"/>
          <w:sz w:val="24"/>
          <w14:textFill>
            <w14:solidFill>
              <w14:schemeClr w14:val="tx1"/>
            </w14:solidFill>
          </w14:textFill>
        </w:rPr>
        <w:t>采购组织类型：</w:t>
      </w:r>
      <w:r>
        <w:rPr>
          <w:rFonts w:ascii="宋体" w:hAnsi="宋体" w:cs="Arial"/>
          <w:color w:val="000000" w:themeColor="text1"/>
          <w:sz w:val="24"/>
          <w14:textFill>
            <w14:solidFill>
              <w14:schemeClr w14:val="tx1"/>
            </w14:solidFill>
          </w14:textFill>
        </w:rPr>
        <w:t>自行采购</w:t>
      </w:r>
    </w:p>
    <w:p>
      <w:pPr>
        <w:snapToGrid w:val="0"/>
        <w:spacing w:line="400" w:lineRule="exact"/>
        <w:ind w:firstLine="482"/>
        <w:rPr>
          <w:rFonts w:ascii="宋体" w:hAnsi="宋体" w:cs="Arial"/>
          <w:color w:val="000000" w:themeColor="text1"/>
          <w:sz w:val="24"/>
          <w:szCs w:val="20"/>
          <w14:textFill>
            <w14:solidFill>
              <w14:schemeClr w14:val="tx1"/>
            </w14:solidFill>
          </w14:textFill>
        </w:rPr>
      </w:pPr>
      <w:r>
        <w:rPr>
          <w:rFonts w:ascii="宋体" w:hAnsi="宋体" w:cs="Arial"/>
          <w:b/>
          <w:color w:val="000000" w:themeColor="text1"/>
          <w:sz w:val="24"/>
          <w14:textFill>
            <w14:solidFill>
              <w14:schemeClr w14:val="tx1"/>
            </w14:solidFill>
          </w14:textFill>
        </w:rPr>
        <w:t>三、采购方式：</w:t>
      </w:r>
      <w:r>
        <w:rPr>
          <w:rFonts w:hint="eastAsia" w:ascii="宋体" w:hAnsi="宋体" w:cs="宋体"/>
          <w:sz w:val="24"/>
        </w:rPr>
        <w:t>竞争性谈判</w:t>
      </w:r>
    </w:p>
    <w:p>
      <w:pPr>
        <w:snapToGrid w:val="0"/>
        <w:spacing w:line="400" w:lineRule="exact"/>
        <w:ind w:firstLine="482"/>
        <w:rPr>
          <w:rFonts w:ascii="宋体" w:hAnsi="宋体" w:cs="Arial"/>
          <w:b/>
          <w:color w:val="000000" w:themeColor="text1"/>
          <w:sz w:val="24"/>
          <w14:textFill>
            <w14:solidFill>
              <w14:schemeClr w14:val="tx1"/>
            </w14:solidFill>
          </w14:textFill>
        </w:rPr>
      </w:pPr>
      <w:r>
        <w:rPr>
          <w:rFonts w:ascii="宋体" w:hAnsi="宋体" w:cs="Arial"/>
          <w:b/>
          <w:color w:val="000000" w:themeColor="text1"/>
          <w:sz w:val="24"/>
          <w14:textFill>
            <w14:solidFill>
              <w14:schemeClr w14:val="tx1"/>
            </w14:solidFill>
          </w14:textFill>
        </w:rPr>
        <w:t>四、采购内容及数量：</w:t>
      </w:r>
    </w:p>
    <w:tbl>
      <w:tblPr>
        <w:tblStyle w:val="21"/>
        <w:tblW w:w="8796" w:type="dxa"/>
        <w:tblInd w:w="40" w:type="dxa"/>
        <w:tblLayout w:type="fixed"/>
        <w:tblCellMar>
          <w:top w:w="0" w:type="dxa"/>
          <w:left w:w="108" w:type="dxa"/>
          <w:bottom w:w="0" w:type="dxa"/>
          <w:right w:w="108" w:type="dxa"/>
        </w:tblCellMar>
      </w:tblPr>
      <w:tblGrid>
        <w:gridCol w:w="4791"/>
        <w:gridCol w:w="1935"/>
        <w:gridCol w:w="2070"/>
      </w:tblGrid>
      <w:tr>
        <w:tblPrEx>
          <w:tblCellMar>
            <w:top w:w="0" w:type="dxa"/>
            <w:left w:w="108" w:type="dxa"/>
            <w:bottom w:w="0" w:type="dxa"/>
            <w:right w:w="108" w:type="dxa"/>
          </w:tblCellMar>
        </w:tblPrEx>
        <w:trPr>
          <w:trHeight w:val="426" w:hRule="atLeast"/>
        </w:trPr>
        <w:tc>
          <w:tcPr>
            <w:tcW w:w="4791"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Fonts w:ascii="宋体" w:hAnsi="宋体"/>
                <w:color w:val="000000" w:themeColor="text1"/>
                <w:kern w:val="0"/>
                <w:sz w:val="24"/>
                <w:lang w:val="zh-CN"/>
                <w14:textFill>
                  <w14:solidFill>
                    <w14:schemeClr w14:val="tx1"/>
                  </w14:solidFill>
                </w14:textFill>
              </w:rPr>
            </w:pPr>
            <w:r>
              <w:rPr>
                <w:rFonts w:ascii="宋体" w:hAnsi="宋体"/>
                <w:color w:val="000000" w:themeColor="text1"/>
                <w:kern w:val="0"/>
                <w:sz w:val="24"/>
                <w:lang w:val="zh-CN"/>
                <w14:textFill>
                  <w14:solidFill>
                    <w14:schemeClr w14:val="tx1"/>
                  </w14:solidFill>
                </w14:textFill>
              </w:rPr>
              <w:t>采购内容</w:t>
            </w:r>
          </w:p>
        </w:tc>
        <w:tc>
          <w:tcPr>
            <w:tcW w:w="1935" w:type="dxa"/>
            <w:tcBorders>
              <w:top w:val="single" w:color="000000" w:sz="4" w:space="0"/>
              <w:left w:val="single" w:color="000000" w:sz="4" w:space="0"/>
              <w:bottom w:val="single" w:color="000000" w:sz="4" w:space="0"/>
              <w:right w:val="single" w:color="000000" w:sz="4" w:space="0"/>
            </w:tcBorders>
            <w:vAlign w:val="center"/>
          </w:tcPr>
          <w:p>
            <w:pPr>
              <w:spacing w:before="60" w:after="60" w:line="400" w:lineRule="exact"/>
              <w:ind w:right="60"/>
              <w:jc w:val="center"/>
              <w:rPr>
                <w:rFonts w:hint="eastAsia" w:ascii="宋体" w:hAnsi="宋体" w:eastAsia="宋体"/>
                <w:b/>
                <w:color w:val="000000"/>
                <w:sz w:val="24"/>
                <w:lang w:val="en-US" w:eastAsia="zh-CN"/>
              </w:rPr>
            </w:pPr>
            <w:r>
              <w:rPr>
                <w:rFonts w:hint="eastAsia" w:ascii="宋体" w:hAnsi="宋体"/>
                <w:b/>
                <w:color w:val="000000"/>
                <w:sz w:val="24"/>
                <w:lang w:val="en-US" w:eastAsia="zh-CN"/>
              </w:rPr>
              <w:t>暂定数量</w:t>
            </w:r>
          </w:p>
        </w:tc>
        <w:tc>
          <w:tcPr>
            <w:tcW w:w="2070" w:type="dxa"/>
            <w:tcBorders>
              <w:top w:val="single" w:color="000000" w:sz="4" w:space="0"/>
              <w:left w:val="single" w:color="000000" w:sz="4" w:space="0"/>
              <w:bottom w:val="single" w:color="000000" w:sz="4" w:space="0"/>
              <w:right w:val="single" w:color="000000" w:sz="4" w:space="0"/>
            </w:tcBorders>
            <w:vAlign w:val="center"/>
          </w:tcPr>
          <w:p>
            <w:pPr>
              <w:spacing w:before="60" w:after="60" w:line="400" w:lineRule="exact"/>
              <w:ind w:right="60"/>
              <w:jc w:val="center"/>
              <w:rPr>
                <w:rFonts w:ascii="宋体" w:hAnsi="宋体"/>
                <w:b/>
                <w:color w:val="000000"/>
                <w:sz w:val="24"/>
                <w:lang w:val="zh-CN"/>
              </w:rPr>
            </w:pPr>
            <w:r>
              <w:rPr>
                <w:rFonts w:hint="eastAsia" w:ascii="宋体" w:hAnsi="宋体"/>
                <w:b/>
                <w:color w:val="000000"/>
                <w:sz w:val="24"/>
                <w:lang w:val="zh-CN"/>
              </w:rPr>
              <w:t>最高限价</w:t>
            </w:r>
          </w:p>
        </w:tc>
      </w:tr>
      <w:tr>
        <w:tblPrEx>
          <w:tblCellMar>
            <w:top w:w="0" w:type="dxa"/>
            <w:left w:w="108" w:type="dxa"/>
            <w:bottom w:w="0" w:type="dxa"/>
            <w:right w:w="108" w:type="dxa"/>
          </w:tblCellMar>
        </w:tblPrEx>
        <w:trPr>
          <w:trHeight w:val="782" w:hRule="atLeast"/>
        </w:trPr>
        <w:tc>
          <w:tcPr>
            <w:tcW w:w="4791" w:type="dxa"/>
            <w:tcBorders>
              <w:top w:val="single" w:color="000000" w:sz="4" w:space="0"/>
              <w:left w:val="single" w:color="000000" w:sz="4" w:space="0"/>
              <w:bottom w:val="single" w:color="000000" w:sz="4" w:space="0"/>
              <w:right w:val="single" w:color="000000" w:sz="4" w:space="0"/>
            </w:tcBorders>
            <w:vAlign w:val="center"/>
          </w:tcPr>
          <w:p>
            <w:pPr>
              <w:pStyle w:val="47"/>
              <w:spacing w:line="400" w:lineRule="exact"/>
              <w:ind w:firstLine="0" w:firstLineChars="0"/>
              <w:jc w:val="center"/>
              <w:rPr>
                <w:rFonts w:hint="eastAsia" w:ascii="宋体" w:hAnsi="宋体" w:eastAsia="宋体"/>
                <w:color w:val="000000" w:themeColor="text1"/>
                <w:kern w:val="0"/>
                <w:sz w:val="24"/>
                <w:lang w:val="zh-CN" w:eastAsia="zh-CN"/>
                <w14:textFill>
                  <w14:solidFill>
                    <w14:schemeClr w14:val="tx1"/>
                  </w14:solidFill>
                </w14:textFill>
              </w:rPr>
            </w:pPr>
            <w:r>
              <w:rPr>
                <w:rFonts w:hint="eastAsia" w:ascii="宋体" w:hAnsi="宋体" w:cs="Arial"/>
                <w:bCs/>
                <w:color w:val="000000" w:themeColor="text1"/>
                <w:sz w:val="24"/>
                <w:szCs w:val="20"/>
                <w:lang w:eastAsia="zh-CN"/>
                <w14:textFill>
                  <w14:solidFill>
                    <w14:schemeClr w14:val="tx1"/>
                  </w14:solidFill>
                </w14:textFill>
              </w:rPr>
              <w:t>无线耳机采购项目</w:t>
            </w:r>
          </w:p>
        </w:tc>
        <w:tc>
          <w:tcPr>
            <w:tcW w:w="193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default" w:ascii="宋体" w:hAnsi="宋体" w:eastAsia="宋体"/>
                <w:color w:val="000000"/>
                <w:sz w:val="24"/>
                <w:lang w:val="en-US" w:eastAsia="zh-CN"/>
              </w:rPr>
            </w:pPr>
            <w:r>
              <w:rPr>
                <w:rFonts w:hint="eastAsia" w:ascii="宋体" w:hAnsi="宋体"/>
                <w:color w:val="000000"/>
                <w:sz w:val="24"/>
                <w:lang w:val="en-US" w:eastAsia="zh-CN"/>
              </w:rPr>
              <w:t>4500</w:t>
            </w:r>
          </w:p>
        </w:tc>
        <w:tc>
          <w:tcPr>
            <w:tcW w:w="207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default" w:ascii="宋体" w:hAnsi="宋体" w:eastAsia="宋体"/>
                <w:color w:val="000000"/>
                <w:sz w:val="24"/>
                <w:lang w:val="en-US" w:eastAsia="zh-CN"/>
              </w:rPr>
            </w:pPr>
            <w:r>
              <w:rPr>
                <w:rFonts w:hint="eastAsia" w:ascii="宋体" w:hAnsi="宋体"/>
                <w:color w:val="000000"/>
                <w:sz w:val="24"/>
                <w:lang w:val="en-US" w:eastAsia="zh-CN"/>
              </w:rPr>
              <w:t>25元/只</w:t>
            </w:r>
          </w:p>
        </w:tc>
      </w:tr>
    </w:tbl>
    <w:p>
      <w:pPr>
        <w:tabs>
          <w:tab w:val="left" w:pos="0"/>
        </w:tabs>
        <w:snapToGrid w:val="0"/>
        <w:spacing w:line="400" w:lineRule="exact"/>
        <w:ind w:firstLine="482" w:firstLineChars="200"/>
        <w:rPr>
          <w:rFonts w:ascii="宋体" w:hAnsi="宋体" w:cs="Arial"/>
          <w:b/>
          <w:color w:val="000000" w:themeColor="text1"/>
          <w:sz w:val="24"/>
          <w14:textFill>
            <w14:solidFill>
              <w14:schemeClr w14:val="tx1"/>
            </w14:solidFill>
          </w14:textFill>
        </w:rPr>
      </w:pPr>
      <w:r>
        <w:rPr>
          <w:rFonts w:hint="eastAsia" w:ascii="宋体" w:hAnsi="宋体" w:cs="Arial"/>
          <w:b/>
          <w:color w:val="000000" w:themeColor="text1"/>
          <w:sz w:val="24"/>
          <w14:textFill>
            <w14:solidFill>
              <w14:schemeClr w14:val="tx1"/>
            </w14:solidFill>
          </w14:textFill>
        </w:rPr>
        <w:t>五、</w:t>
      </w:r>
      <w:r>
        <w:rPr>
          <w:rFonts w:ascii="宋体" w:hAnsi="宋体" w:cs="Arial"/>
          <w:b/>
          <w:color w:val="000000" w:themeColor="text1"/>
          <w:sz w:val="24"/>
          <w14:textFill>
            <w14:solidFill>
              <w14:schemeClr w14:val="tx1"/>
            </w14:solidFill>
          </w14:textFill>
        </w:rPr>
        <w:t>合格投标人的资格要求</w:t>
      </w:r>
    </w:p>
    <w:p>
      <w:pPr>
        <w:snapToGrid w:val="0"/>
        <w:spacing w:line="400" w:lineRule="exact"/>
        <w:ind w:firstLine="480"/>
        <w:rPr>
          <w:color w:val="000000" w:themeColor="text1"/>
          <w14:textFill>
            <w14:solidFill>
              <w14:schemeClr w14:val="tx1"/>
            </w14:solidFill>
          </w14:textFill>
        </w:rPr>
      </w:pPr>
      <w:r>
        <w:rPr>
          <w:rFonts w:ascii="宋体" w:hAnsi="宋体" w:cs="Arial"/>
          <w:color w:val="000000" w:themeColor="text1"/>
          <w:sz w:val="24"/>
          <w14:textFill>
            <w14:solidFill>
              <w14:schemeClr w14:val="tx1"/>
            </w14:solidFill>
          </w14:textFill>
        </w:rPr>
        <w:t>符合《中华人民共和国政府采购法》第二十二条规定的投标人资格条件和本公告设定的特定条件。</w:t>
      </w:r>
    </w:p>
    <w:p>
      <w:pPr>
        <w:snapToGrid w:val="0"/>
        <w:spacing w:line="400" w:lineRule="exact"/>
        <w:ind w:firstLine="240"/>
        <w:rPr>
          <w:rFonts w:ascii="宋体" w:hAnsi="宋体" w:cs="宋体"/>
          <w:b/>
          <w:bCs/>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w:t>
      </w:r>
      <w:r>
        <w:rPr>
          <w:rFonts w:ascii="宋体" w:hAnsi="宋体" w:cs="宋体"/>
          <w:b/>
          <w:bCs/>
          <w:color w:val="000000" w:themeColor="text1"/>
          <w:sz w:val="24"/>
          <w14:textFill>
            <w14:solidFill>
              <w14:schemeClr w14:val="tx1"/>
            </w14:solidFill>
          </w14:textFill>
        </w:rPr>
        <w:t>投标人的特定条件：</w:t>
      </w:r>
    </w:p>
    <w:p>
      <w:pPr>
        <w:shd w:val="clear" w:color="auto" w:fill="FFFFFF"/>
        <w:snapToGrid w:val="0"/>
        <w:spacing w:line="400" w:lineRule="exact"/>
        <w:ind w:left="479"/>
        <w:rPr>
          <w:rFonts w:ascii="宋体" w:hAnsi="宋体" w:cs="Arial"/>
          <w:color w:val="000000" w:themeColor="text1"/>
          <w:sz w:val="24"/>
          <w14:textFill>
            <w14:solidFill>
              <w14:schemeClr w14:val="tx1"/>
            </w14:solidFill>
          </w14:textFill>
        </w:rPr>
      </w:pPr>
      <w:r>
        <w:rPr>
          <w:rFonts w:ascii="宋体" w:hAnsi="宋体" w:cs="Arial"/>
          <w:color w:val="000000" w:themeColor="text1"/>
          <w:sz w:val="24"/>
          <w14:textFill>
            <w14:solidFill>
              <w14:schemeClr w14:val="tx1"/>
            </w14:solidFill>
          </w14:textFill>
        </w:rPr>
        <w:t>A、投标人需具有独立法人资格，具有工商注册经营许可。</w:t>
      </w:r>
    </w:p>
    <w:p>
      <w:pPr>
        <w:shd w:val="clear" w:color="auto" w:fill="FFFFFF"/>
        <w:snapToGrid w:val="0"/>
        <w:spacing w:line="400" w:lineRule="exact"/>
        <w:ind w:firstLine="482"/>
        <w:rPr>
          <w:rFonts w:ascii="宋体" w:hAnsi="宋体" w:cs="宋体"/>
          <w:b/>
          <w:bCs/>
          <w:color w:val="000000" w:themeColor="text1"/>
          <w:sz w:val="24"/>
          <w14:textFill>
            <w14:solidFill>
              <w14:schemeClr w14:val="tx1"/>
            </w14:solidFill>
          </w14:textFill>
        </w:rPr>
      </w:pPr>
      <w:r>
        <w:rPr>
          <w:rFonts w:ascii="宋体" w:hAnsi="宋体" w:cs="宋体"/>
          <w:b/>
          <w:bCs/>
          <w:color w:val="000000" w:themeColor="text1"/>
          <w:kern w:val="0"/>
          <w:sz w:val="24"/>
          <w14:textFill>
            <w14:solidFill>
              <w14:schemeClr w14:val="tx1"/>
            </w14:solidFill>
          </w14:textFill>
        </w:rPr>
        <w:t>B、</w:t>
      </w:r>
      <w:r>
        <w:rPr>
          <w:rFonts w:ascii="宋体" w:hAnsi="宋体" w:cs="宋体"/>
          <w:b/>
          <w:bCs/>
          <w:color w:val="000000" w:themeColor="text1"/>
          <w:sz w:val="24"/>
          <w14:textFill>
            <w14:solidFill>
              <w14:schemeClr w14:val="tx1"/>
            </w14:solidFill>
          </w14:textFill>
        </w:rPr>
        <w:t>1、符合《中华人民共和国政府采购法》第二十二条和浙财采监【2013】24号《关于规范政府采购供应商资格设定及资格审查的通知》第六条规定,且未被“信用中国”（www.creditchina.gov.cn）、“中国政府采购网”（www.ccgp.gov.cn）列入失信被执行人、重大税收违法案件当事人名单、政府采购严重违法失信行为记录名单。</w:t>
      </w:r>
    </w:p>
    <w:p>
      <w:pPr>
        <w:spacing w:line="400" w:lineRule="exact"/>
        <w:ind w:firstLine="48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D</w:t>
      </w:r>
      <w:r>
        <w:rPr>
          <w:rFonts w:ascii="宋体" w:hAnsi="宋体" w:cs="宋体"/>
          <w:color w:val="000000" w:themeColor="text1"/>
          <w:kern w:val="0"/>
          <w:sz w:val="24"/>
          <w14:textFill>
            <w14:solidFill>
              <w14:schemeClr w14:val="tx1"/>
            </w14:solidFill>
          </w14:textFill>
        </w:rPr>
        <w:t>、本项目不接受联合体投标。</w:t>
      </w:r>
    </w:p>
    <w:p>
      <w:pPr>
        <w:snapToGrid w:val="0"/>
        <w:spacing w:line="400" w:lineRule="exact"/>
        <w:ind w:firstLine="482"/>
        <w:rPr>
          <w:rFonts w:ascii="宋体" w:hAnsi="宋体" w:cs="Arial"/>
          <w:b/>
          <w:color w:val="auto"/>
          <w:sz w:val="24"/>
        </w:rPr>
      </w:pPr>
      <w:r>
        <w:rPr>
          <w:rFonts w:ascii="宋体" w:hAnsi="宋体" w:cs="Arial"/>
          <w:b/>
          <w:color w:val="000000" w:themeColor="text1"/>
          <w:sz w:val="24"/>
          <w14:textFill>
            <w14:solidFill>
              <w14:schemeClr w14:val="tx1"/>
            </w14:solidFill>
          </w14:textFill>
        </w:rPr>
        <w:t>六、招标文件的</w:t>
      </w:r>
      <w:r>
        <w:rPr>
          <w:rFonts w:ascii="宋体" w:hAnsi="宋体" w:cs="Arial"/>
          <w:b/>
          <w:color w:val="auto"/>
          <w:sz w:val="24"/>
        </w:rPr>
        <w:t>获取及报名方式</w:t>
      </w:r>
    </w:p>
    <w:p>
      <w:pPr>
        <w:snapToGrid w:val="0"/>
        <w:spacing w:line="400" w:lineRule="exact"/>
        <w:ind w:firstLine="420"/>
        <w:rPr>
          <w:rFonts w:ascii="宋体" w:hAnsi="宋体" w:cs="Arial"/>
          <w:color w:val="auto"/>
          <w:sz w:val="24"/>
        </w:rPr>
      </w:pPr>
      <w:r>
        <w:rPr>
          <w:rFonts w:hint="eastAsia" w:ascii="宋体" w:hAnsi="宋体" w:cs="Arial"/>
          <w:color w:val="auto"/>
          <w:sz w:val="24"/>
        </w:rPr>
        <w:t>本项目谈判</w:t>
      </w:r>
      <w:r>
        <w:rPr>
          <w:rFonts w:hint="eastAsia" w:ascii="宋体" w:hAnsi="宋体" w:cs="Arial"/>
          <w:color w:val="auto"/>
          <w:sz w:val="24"/>
          <w:lang w:eastAsia="zh-CN"/>
        </w:rPr>
        <w:t>响应</w:t>
      </w:r>
      <w:r>
        <w:rPr>
          <w:rFonts w:hint="eastAsia" w:ascii="宋体" w:hAnsi="宋体" w:cs="Arial"/>
          <w:color w:val="auto"/>
          <w:sz w:val="24"/>
        </w:rPr>
        <w:t>截止时间：</w:t>
      </w:r>
      <w:r>
        <w:rPr>
          <w:rFonts w:hint="eastAsia" w:ascii="宋体" w:hAnsi="宋体" w:cs="Arial"/>
          <w:color w:val="auto"/>
          <w:sz w:val="24"/>
          <w:lang w:eastAsia="zh-CN"/>
        </w:rPr>
        <w:t>2021年11月2</w:t>
      </w:r>
      <w:r>
        <w:rPr>
          <w:rFonts w:hint="eastAsia" w:ascii="宋体" w:hAnsi="宋体" w:cs="Arial"/>
          <w:color w:val="auto"/>
          <w:sz w:val="24"/>
          <w:lang w:val="en-US" w:eastAsia="zh-CN"/>
        </w:rPr>
        <w:t>5</w:t>
      </w:r>
      <w:r>
        <w:rPr>
          <w:rFonts w:hint="eastAsia" w:ascii="宋体" w:hAnsi="宋体" w:cs="Arial"/>
          <w:color w:val="auto"/>
          <w:sz w:val="24"/>
          <w:lang w:eastAsia="zh-CN"/>
        </w:rPr>
        <w:t>日1</w:t>
      </w:r>
      <w:r>
        <w:rPr>
          <w:rFonts w:hint="eastAsia" w:ascii="宋体" w:hAnsi="宋体" w:cs="Arial"/>
          <w:color w:val="auto"/>
          <w:sz w:val="24"/>
          <w:lang w:val="en-US" w:eastAsia="zh-CN"/>
        </w:rPr>
        <w:t>6</w:t>
      </w:r>
      <w:r>
        <w:rPr>
          <w:rFonts w:hint="eastAsia" w:ascii="宋体" w:hAnsi="宋体" w:cs="Arial"/>
          <w:color w:val="auto"/>
          <w:sz w:val="24"/>
          <w:lang w:eastAsia="zh-CN"/>
        </w:rPr>
        <w:t>时00分</w:t>
      </w:r>
      <w:r>
        <w:rPr>
          <w:rFonts w:hint="eastAsia" w:ascii="宋体" w:hAnsi="宋体" w:cs="Arial"/>
          <w:color w:val="auto"/>
          <w:sz w:val="24"/>
        </w:rPr>
        <w:t>前</w:t>
      </w:r>
    </w:p>
    <w:p>
      <w:pPr>
        <w:snapToGrid w:val="0"/>
        <w:spacing w:line="400" w:lineRule="exact"/>
        <w:ind w:firstLine="420"/>
        <w:rPr>
          <w:rFonts w:ascii="宋体" w:hAnsi="宋体" w:cs="Arial"/>
          <w:color w:val="auto"/>
          <w:sz w:val="24"/>
        </w:rPr>
      </w:pPr>
      <w:r>
        <w:rPr>
          <w:rFonts w:hint="eastAsia" w:ascii="宋体" w:hAnsi="宋体" w:cs="Arial"/>
          <w:color w:val="auto"/>
          <w:sz w:val="24"/>
        </w:rPr>
        <w:t>报名可通</w:t>
      </w:r>
      <w:r>
        <w:rPr>
          <w:rFonts w:ascii="宋体" w:hAnsi="宋体" w:cs="Arial"/>
          <w:color w:val="auto"/>
          <w:sz w:val="24"/>
        </w:rPr>
        <w:t>过邮箱方式</w:t>
      </w:r>
      <w:r>
        <w:rPr>
          <w:rFonts w:hint="eastAsia" w:ascii="宋体" w:hAnsi="宋体" w:cs="Arial"/>
          <w:color w:val="auto"/>
          <w:sz w:val="24"/>
        </w:rPr>
        <w:t>或</w:t>
      </w:r>
      <w:r>
        <w:rPr>
          <w:rFonts w:ascii="宋体" w:hAnsi="宋体" w:cs="Arial"/>
          <w:color w:val="auto"/>
          <w:sz w:val="24"/>
        </w:rPr>
        <w:t>送达</w:t>
      </w:r>
      <w:r>
        <w:rPr>
          <w:rFonts w:hint="eastAsia" w:ascii="宋体" w:hAnsi="宋体" w:cs="Arial"/>
          <w:color w:val="auto"/>
          <w:sz w:val="24"/>
        </w:rPr>
        <w:t>至浙江广厦建设职业技术大学213办公室</w:t>
      </w:r>
      <w:r>
        <w:rPr>
          <w:rFonts w:ascii="宋体" w:hAnsi="宋体" w:cs="Arial"/>
          <w:color w:val="auto"/>
          <w:sz w:val="24"/>
        </w:rPr>
        <w:t>（</w:t>
      </w:r>
      <w:r>
        <w:rPr>
          <w:rFonts w:hint="eastAsia" w:ascii="宋体" w:hAnsi="宋体" w:cs="Arial"/>
          <w:color w:val="auto"/>
          <w:sz w:val="24"/>
        </w:rPr>
        <w:t>电话</w:t>
      </w:r>
      <w:r>
        <w:rPr>
          <w:rFonts w:ascii="宋体" w:hAnsi="宋体" w:cs="Arial"/>
          <w:color w:val="auto"/>
          <w:sz w:val="24"/>
        </w:rPr>
        <w:t>：0579-866</w:t>
      </w:r>
      <w:r>
        <w:rPr>
          <w:rFonts w:hint="eastAsia" w:ascii="宋体" w:hAnsi="宋体" w:cs="Arial"/>
          <w:color w:val="auto"/>
          <w:sz w:val="24"/>
        </w:rPr>
        <w:t>64725</w:t>
      </w:r>
      <w:r>
        <w:rPr>
          <w:rFonts w:ascii="宋体" w:hAnsi="宋体" w:cs="Arial"/>
          <w:color w:val="auto"/>
          <w:sz w:val="24"/>
        </w:rPr>
        <w:t>，邮箱：</w:t>
      </w:r>
      <w:r>
        <w:rPr>
          <w:rFonts w:hint="eastAsia" w:ascii="宋体" w:hAnsi="宋体" w:cs="Arial"/>
          <w:color w:val="auto"/>
          <w:sz w:val="24"/>
        </w:rPr>
        <w:t>953715462</w:t>
      </w:r>
      <w:r>
        <w:rPr>
          <w:rFonts w:ascii="宋体" w:hAnsi="宋体" w:cs="Arial"/>
          <w:color w:val="auto"/>
          <w:sz w:val="24"/>
        </w:rPr>
        <w:t>@qq.com）</w:t>
      </w:r>
    </w:p>
    <w:p>
      <w:pPr>
        <w:spacing w:line="400" w:lineRule="exact"/>
        <w:ind w:firstLine="482"/>
        <w:rPr>
          <w:rFonts w:ascii="宋体" w:hAnsi="宋体" w:cs="Arial"/>
          <w:b/>
          <w:bCs/>
          <w:color w:val="auto"/>
          <w:sz w:val="24"/>
        </w:rPr>
      </w:pPr>
      <w:r>
        <w:rPr>
          <w:rFonts w:ascii="宋体" w:hAnsi="宋体" w:cs="Arial"/>
          <w:b/>
          <w:bCs/>
          <w:color w:val="auto"/>
          <w:sz w:val="24"/>
        </w:rPr>
        <w:t>七、投标截止时间和地点：</w:t>
      </w:r>
    </w:p>
    <w:p>
      <w:pPr>
        <w:snapToGrid w:val="0"/>
        <w:spacing w:line="400" w:lineRule="exact"/>
        <w:ind w:firstLine="420"/>
        <w:rPr>
          <w:rFonts w:ascii="宋体" w:hAnsi="宋体" w:cs="Arial"/>
          <w:color w:val="auto"/>
          <w:sz w:val="24"/>
        </w:rPr>
      </w:pPr>
      <w:r>
        <w:rPr>
          <w:rFonts w:ascii="宋体" w:hAnsi="宋体" w:cs="Arial"/>
          <w:color w:val="auto"/>
          <w:sz w:val="24"/>
        </w:rPr>
        <w:t>投标截止时间为：</w:t>
      </w:r>
      <w:r>
        <w:rPr>
          <w:rFonts w:hint="eastAsia" w:ascii="宋体" w:hAnsi="宋体" w:cs="Arial"/>
          <w:color w:val="auto"/>
          <w:sz w:val="24"/>
          <w:lang w:eastAsia="zh-CN"/>
        </w:rPr>
        <w:t>2021年11月26日15时00分</w:t>
      </w:r>
      <w:r>
        <w:rPr>
          <w:rFonts w:ascii="宋体" w:hAnsi="宋体" w:cs="Arial"/>
          <w:color w:val="auto"/>
          <w:sz w:val="24"/>
        </w:rPr>
        <w:t xml:space="preserve">前； </w:t>
      </w:r>
    </w:p>
    <w:p>
      <w:pPr>
        <w:snapToGrid w:val="0"/>
        <w:spacing w:line="400" w:lineRule="exact"/>
        <w:ind w:firstLine="420"/>
        <w:rPr>
          <w:rFonts w:ascii="宋体" w:hAnsi="宋体" w:cs="Arial"/>
          <w:color w:val="auto"/>
          <w:sz w:val="24"/>
        </w:rPr>
      </w:pPr>
      <w:r>
        <w:rPr>
          <w:rFonts w:ascii="宋体" w:hAnsi="宋体" w:cs="Arial"/>
          <w:color w:val="auto"/>
          <w:sz w:val="24"/>
        </w:rPr>
        <w:t>开标</w:t>
      </w:r>
      <w:r>
        <w:rPr>
          <w:rFonts w:hint="eastAsia" w:ascii="宋体" w:hAnsi="宋体" w:cs="Arial"/>
          <w:color w:val="auto"/>
          <w:sz w:val="24"/>
        </w:rPr>
        <w:t>地址</w:t>
      </w:r>
      <w:r>
        <w:rPr>
          <w:rFonts w:ascii="宋体" w:hAnsi="宋体" w:cs="Arial"/>
          <w:color w:val="auto"/>
          <w:sz w:val="24"/>
        </w:rPr>
        <w:t>，浙江广厦建设职业技术大学综合楼603开标室。</w:t>
      </w:r>
    </w:p>
    <w:p>
      <w:pPr>
        <w:snapToGrid w:val="0"/>
        <w:spacing w:line="400" w:lineRule="exact"/>
        <w:ind w:firstLine="540"/>
        <w:rPr>
          <w:rFonts w:ascii="宋体" w:hAnsi="宋体" w:cs="Arial"/>
          <w:b/>
          <w:bCs/>
          <w:color w:val="auto"/>
          <w:sz w:val="24"/>
        </w:rPr>
      </w:pPr>
      <w:r>
        <w:rPr>
          <w:rFonts w:ascii="宋体" w:hAnsi="宋体" w:cs="宋体"/>
          <w:color w:val="auto"/>
          <w:sz w:val="24"/>
        </w:rPr>
        <w:t>▲</w:t>
      </w:r>
      <w:r>
        <w:rPr>
          <w:rFonts w:ascii="宋体" w:hAnsi="宋体" w:cs="Arial"/>
          <w:b/>
          <w:bCs/>
          <w:color w:val="auto"/>
          <w:sz w:val="24"/>
        </w:rPr>
        <w:t>八、开标时间及地点：</w:t>
      </w:r>
    </w:p>
    <w:p>
      <w:pPr>
        <w:snapToGrid w:val="0"/>
        <w:spacing w:line="400" w:lineRule="exact"/>
        <w:ind w:firstLine="420"/>
        <w:rPr>
          <w:rFonts w:ascii="宋体" w:hAnsi="宋体" w:cs="Arial"/>
          <w:color w:val="auto"/>
          <w:sz w:val="24"/>
        </w:rPr>
      </w:pPr>
      <w:r>
        <w:rPr>
          <w:rFonts w:ascii="宋体" w:hAnsi="宋体" w:cs="Arial"/>
          <w:color w:val="auto"/>
          <w:sz w:val="24"/>
        </w:rPr>
        <w:t>开标时间为：</w:t>
      </w:r>
      <w:r>
        <w:rPr>
          <w:rFonts w:hint="eastAsia" w:ascii="宋体" w:hAnsi="宋体" w:cs="Arial"/>
          <w:color w:val="auto"/>
          <w:sz w:val="24"/>
          <w:lang w:eastAsia="zh-CN"/>
        </w:rPr>
        <w:t>2021年11月26日15时00分</w:t>
      </w:r>
      <w:r>
        <w:rPr>
          <w:rFonts w:ascii="宋体" w:hAnsi="宋体" w:cs="Arial"/>
          <w:color w:val="auto"/>
          <w:sz w:val="24"/>
        </w:rPr>
        <w:t xml:space="preserve">； </w:t>
      </w:r>
    </w:p>
    <w:p>
      <w:pPr>
        <w:snapToGrid w:val="0"/>
        <w:spacing w:line="420" w:lineRule="exact"/>
        <w:ind w:firstLine="420"/>
        <w:rPr>
          <w:rStyle w:val="23"/>
          <w:rFonts w:ascii="仿宋_GB2312" w:hAnsi="宋体" w:eastAsia="仿宋_GB2312" w:cs="仿宋_GB2312"/>
          <w:color w:val="222222"/>
        </w:rPr>
      </w:pPr>
      <w:r>
        <w:rPr>
          <w:rFonts w:hint="eastAsia" w:ascii="宋体" w:hAnsi="宋体" w:cs="Arial"/>
          <w:color w:val="auto"/>
          <w:sz w:val="24"/>
        </w:rPr>
        <w:t>本项目采用不见面开标的形式开标，投标人自行下载钉钉，在开标截</w:t>
      </w:r>
      <w:r>
        <w:rPr>
          <w:rFonts w:hint="eastAsia" w:ascii="宋体" w:hAnsi="宋体" w:cs="Arial"/>
          <w:sz w:val="24"/>
        </w:rPr>
        <w:t>止时间前1小时内，加群并开启钉钉视频直播，对开标现场情况进行全程直播。</w:t>
      </w:r>
    </w:p>
    <w:p>
      <w:pPr>
        <w:spacing w:line="400" w:lineRule="exact"/>
        <w:ind w:firstLine="241" w:firstLineChars="100"/>
        <w:rPr>
          <w:rFonts w:ascii="宋体" w:hAnsi="宋体" w:cs="Arial"/>
          <w:b/>
          <w:bCs/>
          <w:color w:val="000000" w:themeColor="text1"/>
          <w:sz w:val="24"/>
          <w14:textFill>
            <w14:solidFill>
              <w14:schemeClr w14:val="tx1"/>
            </w14:solidFill>
          </w14:textFill>
        </w:rPr>
      </w:pPr>
      <w:r>
        <w:rPr>
          <w:rFonts w:hint="eastAsia" w:ascii="宋体" w:hAnsi="宋体" w:cs="Arial"/>
          <w:b/>
          <w:bCs/>
          <w:color w:val="000000" w:themeColor="text1"/>
          <w:sz w:val="24"/>
          <w14:textFill>
            <w14:solidFill>
              <w14:schemeClr w14:val="tx1"/>
            </w14:solidFill>
          </w14:textFill>
        </w:rPr>
        <w:t>九、</w:t>
      </w:r>
      <w:r>
        <w:rPr>
          <w:rFonts w:ascii="宋体" w:hAnsi="宋体" w:cs="Arial"/>
          <w:b/>
          <w:bCs/>
          <w:color w:val="000000" w:themeColor="text1"/>
          <w:sz w:val="24"/>
          <w14:textFill>
            <w14:solidFill>
              <w14:schemeClr w14:val="tx1"/>
            </w14:solidFill>
          </w14:textFill>
        </w:rPr>
        <w:t>其他事项：</w:t>
      </w:r>
    </w:p>
    <w:p>
      <w:pPr>
        <w:snapToGrid w:val="0"/>
        <w:spacing w:line="400" w:lineRule="exact"/>
        <w:ind w:firstLine="420"/>
        <w:rPr>
          <w:rFonts w:ascii="宋体" w:hAnsi="宋体" w:cs="宋体"/>
          <w:color w:val="000000" w:themeColor="text1"/>
          <w:sz w:val="24"/>
          <w14:textFill>
            <w14:solidFill>
              <w14:schemeClr w14:val="tx1"/>
            </w14:solidFill>
          </w14:textFill>
        </w:rPr>
      </w:pPr>
      <w:r>
        <w:rPr>
          <w:rFonts w:ascii="宋体" w:hAnsi="宋体" w:cs="Arial"/>
          <w:color w:val="000000" w:themeColor="text1"/>
          <w:sz w:val="24"/>
          <w14:textFill>
            <w14:solidFill>
              <w14:schemeClr w14:val="tx1"/>
            </w14:solidFill>
          </w14:textFill>
        </w:rPr>
        <w:t>为确保招投标活动的公开、公平、公正，切实维护各方合法权益，凡在招标投标、开标评标过程中，受到敲诈、勒索或发现围标串标、虚假投标、恶意竞标等涉黑涉恶线索者，请及时保留相关证据并向有关部门举报。</w:t>
      </w:r>
    </w:p>
    <w:p>
      <w:pPr>
        <w:snapToGrid w:val="0"/>
        <w:spacing w:line="400" w:lineRule="exact"/>
        <w:ind w:firstLine="542"/>
        <w:rPr>
          <w:rFonts w:ascii="宋体" w:hAnsi="宋体" w:cs="Arial"/>
          <w:b/>
          <w:bCs/>
          <w:color w:val="000000" w:themeColor="text1"/>
          <w:sz w:val="24"/>
          <w14:textFill>
            <w14:solidFill>
              <w14:schemeClr w14:val="tx1"/>
            </w14:solidFill>
          </w14:textFill>
        </w:rPr>
      </w:pPr>
      <w:r>
        <w:rPr>
          <w:rFonts w:ascii="宋体" w:hAnsi="宋体" w:cs="Arial"/>
          <w:b/>
          <w:bCs/>
          <w:color w:val="000000" w:themeColor="text1"/>
          <w:sz w:val="24"/>
          <w14:textFill>
            <w14:solidFill>
              <w14:schemeClr w14:val="tx1"/>
            </w14:solidFill>
          </w14:textFill>
        </w:rPr>
        <w:t>十、业务咨询：</w:t>
      </w:r>
    </w:p>
    <w:p>
      <w:pPr>
        <w:snapToGrid w:val="0"/>
        <w:spacing w:line="400" w:lineRule="exact"/>
        <w:ind w:firstLine="420"/>
        <w:rPr>
          <w:rFonts w:ascii="宋体" w:hAnsi="宋体" w:cs="Arial"/>
          <w:color w:val="000000" w:themeColor="text1"/>
          <w:sz w:val="24"/>
          <w:szCs w:val="24"/>
          <w14:textFill>
            <w14:solidFill>
              <w14:schemeClr w14:val="tx1"/>
            </w14:solidFill>
          </w14:textFill>
        </w:rPr>
      </w:pPr>
      <w:r>
        <w:rPr>
          <w:rFonts w:ascii="宋体" w:hAnsi="宋体" w:cs="Arial"/>
          <w:color w:val="000000" w:themeColor="text1"/>
          <w:sz w:val="24"/>
          <w:szCs w:val="24"/>
          <w14:textFill>
            <w14:solidFill>
              <w14:schemeClr w14:val="tx1"/>
            </w14:solidFill>
          </w14:textFill>
        </w:rPr>
        <w:t>浙江广厦建设职业技术大学          联系人：</w:t>
      </w:r>
      <w:r>
        <w:rPr>
          <w:rFonts w:hint="eastAsia" w:ascii="宋体" w:hAnsi="宋体" w:cs="Arial"/>
          <w:color w:val="000000" w:themeColor="text1"/>
          <w:sz w:val="24"/>
          <w:szCs w:val="24"/>
          <w14:textFill>
            <w14:solidFill>
              <w14:schemeClr w14:val="tx1"/>
            </w14:solidFill>
          </w14:textFill>
        </w:rPr>
        <w:t>林</w:t>
      </w:r>
      <w:r>
        <w:rPr>
          <w:rFonts w:ascii="宋体" w:hAnsi="宋体" w:cs="Arial"/>
          <w:color w:val="000000" w:themeColor="text1"/>
          <w:sz w:val="24"/>
          <w:szCs w:val="24"/>
          <w14:textFill>
            <w14:solidFill>
              <w14:schemeClr w14:val="tx1"/>
            </w14:solidFill>
          </w14:textFill>
        </w:rPr>
        <w:t xml:space="preserve">老师     </w:t>
      </w:r>
    </w:p>
    <w:p>
      <w:pPr>
        <w:snapToGrid w:val="0"/>
        <w:spacing w:line="400" w:lineRule="exact"/>
        <w:ind w:firstLine="420"/>
        <w:rPr>
          <w:rFonts w:ascii="宋体" w:hAnsi="宋体" w:cs="宋体"/>
          <w:color w:val="000000" w:themeColor="text1"/>
          <w:sz w:val="24"/>
          <w:szCs w:val="24"/>
          <w14:textFill>
            <w14:solidFill>
              <w14:schemeClr w14:val="tx1"/>
            </w14:solidFill>
          </w14:textFill>
        </w:rPr>
      </w:pPr>
      <w:r>
        <w:rPr>
          <w:rFonts w:ascii="宋体" w:hAnsi="宋体" w:cs="Arial"/>
          <w:color w:val="000000" w:themeColor="text1"/>
          <w:sz w:val="24"/>
          <w:szCs w:val="24"/>
          <w14:textFill>
            <w14:solidFill>
              <w14:schemeClr w14:val="tx1"/>
            </w14:solidFill>
          </w14:textFill>
        </w:rPr>
        <w:t>联系电话：</w:t>
      </w:r>
      <w:r>
        <w:rPr>
          <w:rFonts w:ascii="宋体" w:hAnsi="宋体" w:cs="宋体"/>
          <w:color w:val="000000" w:themeColor="text1"/>
          <w:sz w:val="24"/>
          <w:szCs w:val="24"/>
          <w14:textFill>
            <w14:solidFill>
              <w14:schemeClr w14:val="tx1"/>
            </w14:solidFill>
          </w14:textFill>
        </w:rPr>
        <w:t>0579-866</w:t>
      </w:r>
      <w:r>
        <w:rPr>
          <w:rFonts w:hint="eastAsia" w:ascii="宋体" w:hAnsi="宋体" w:cs="宋体"/>
          <w:color w:val="000000" w:themeColor="text1"/>
          <w:sz w:val="24"/>
          <w:szCs w:val="24"/>
          <w14:textFill>
            <w14:solidFill>
              <w14:schemeClr w14:val="tx1"/>
            </w14:solidFill>
          </w14:textFill>
        </w:rPr>
        <w:t>64725</w:t>
      </w:r>
    </w:p>
    <w:p>
      <w:pPr>
        <w:pStyle w:val="2"/>
        <w:spacing w:line="400" w:lineRule="exact"/>
        <w:ind w:firstLine="210"/>
        <w:rPr>
          <w:color w:val="000000" w:themeColor="text1"/>
          <w:sz w:val="24"/>
          <w:szCs w:val="24"/>
          <w14:textFill>
            <w14:solidFill>
              <w14:schemeClr w14:val="tx1"/>
            </w14:solidFill>
          </w14:textFill>
        </w:rPr>
      </w:pPr>
    </w:p>
    <w:p>
      <w:pPr>
        <w:pStyle w:val="4"/>
        <w:rPr>
          <w:color w:val="000000" w:themeColor="text1"/>
          <w14:textFill>
            <w14:solidFill>
              <w14:schemeClr w14:val="tx1"/>
            </w14:solidFill>
          </w14:textFill>
        </w:rPr>
      </w:pPr>
    </w:p>
    <w:p>
      <w:r>
        <w:rPr>
          <w:rFonts w:hint="eastAsia"/>
        </w:rPr>
        <w:t xml:space="preserve">  </w:t>
      </w:r>
    </w:p>
    <w:p>
      <w:pPr>
        <w:snapToGrid w:val="0"/>
        <w:spacing w:line="400" w:lineRule="exact"/>
        <w:ind w:left="238"/>
        <w:jc w:val="center"/>
        <w:rPr>
          <w:rFonts w:ascii="宋体" w:hAnsi="宋体" w:cs="宋体"/>
          <w:b/>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xml:space="preserve">                                      </w:t>
      </w:r>
      <w:r>
        <w:rPr>
          <w:rFonts w:ascii="宋体" w:hAnsi="宋体" w:cs="宋体"/>
          <w:b/>
          <w:color w:val="000000" w:themeColor="text1"/>
          <w:sz w:val="24"/>
          <w14:textFill>
            <w14:solidFill>
              <w14:schemeClr w14:val="tx1"/>
            </w14:solidFill>
          </w14:textFill>
        </w:rPr>
        <w:t>浙江广厦建设职业技术大学</w:t>
      </w:r>
    </w:p>
    <w:p>
      <w:pPr>
        <w:snapToGrid w:val="0"/>
        <w:spacing w:line="400" w:lineRule="exact"/>
        <w:ind w:firstLine="420"/>
        <w:rPr>
          <w:rFonts w:hint="eastAsia" w:ascii="宋体" w:hAnsi="宋体" w:eastAsia="宋体" w:cs="宋体"/>
          <w:color w:val="000000" w:themeColor="text1"/>
          <w:sz w:val="24"/>
          <w:lang w:eastAsia="zh-CN"/>
          <w14:textFill>
            <w14:solidFill>
              <w14:schemeClr w14:val="tx1"/>
            </w14:solidFill>
          </w14:textFill>
        </w:rPr>
      </w:pPr>
      <w:r>
        <w:rPr>
          <w:rFonts w:ascii="宋体" w:hAnsi="宋体" w:cs="宋体"/>
          <w:color w:val="000000" w:themeColor="text1"/>
          <w:sz w:val="24"/>
          <w14:textFill>
            <w14:solidFill>
              <w14:schemeClr w14:val="tx1"/>
            </w14:solidFill>
          </w14:textFill>
        </w:rPr>
        <w:t xml:space="preserve">                                              </w:t>
      </w:r>
      <w:r>
        <w:rPr>
          <w:rFonts w:hint="eastAsia" w:ascii="宋体" w:hAnsi="宋体" w:cs="宋体"/>
          <w:b/>
          <w:color w:val="000000" w:themeColor="text1"/>
          <w:sz w:val="24"/>
          <w:lang w:eastAsia="zh-CN"/>
          <w14:textFill>
            <w14:solidFill>
              <w14:schemeClr w14:val="tx1"/>
            </w14:solidFill>
          </w14:textFill>
        </w:rPr>
        <w:t>2021年11月1</w:t>
      </w:r>
      <w:r>
        <w:rPr>
          <w:rFonts w:hint="eastAsia" w:ascii="宋体" w:hAnsi="宋体" w:cs="宋体"/>
          <w:b/>
          <w:color w:val="000000" w:themeColor="text1"/>
          <w:sz w:val="24"/>
          <w:lang w:val="en-US" w:eastAsia="zh-CN"/>
          <w14:textFill>
            <w14:solidFill>
              <w14:schemeClr w14:val="tx1"/>
            </w14:solidFill>
          </w14:textFill>
        </w:rPr>
        <w:t>7</w:t>
      </w:r>
      <w:r>
        <w:rPr>
          <w:rFonts w:hint="eastAsia" w:ascii="宋体" w:hAnsi="宋体" w:cs="宋体"/>
          <w:b/>
          <w:color w:val="000000" w:themeColor="text1"/>
          <w:sz w:val="24"/>
          <w:lang w:eastAsia="zh-CN"/>
          <w14:textFill>
            <w14:solidFill>
              <w14:schemeClr w14:val="tx1"/>
            </w14:solidFill>
          </w14:textFill>
        </w:rPr>
        <w:t>日</w:t>
      </w:r>
    </w:p>
    <w:p>
      <w:pPr>
        <w:rPr>
          <w:rFonts w:ascii="黑体" w:hAnsi="黑体" w:eastAsia="黑体"/>
          <w:color w:val="000000" w:themeColor="text1"/>
          <w:sz w:val="28"/>
          <w:szCs w:val="28"/>
          <w14:textFill>
            <w14:solidFill>
              <w14:schemeClr w14:val="tx1"/>
            </w14:solidFill>
          </w14:textFill>
        </w:rPr>
      </w:pPr>
    </w:p>
    <w:p>
      <w:pPr>
        <w:pageBreakBefore/>
        <w:rPr>
          <w:rFonts w:ascii="黑体" w:hAnsi="黑体" w:eastAsia="黑体"/>
          <w:color w:val="000000" w:themeColor="text1"/>
          <w:sz w:val="28"/>
          <w:szCs w:val="28"/>
          <w14:textFill>
            <w14:solidFill>
              <w14:schemeClr w14:val="tx1"/>
            </w14:solidFill>
          </w14:textFill>
        </w:rPr>
      </w:pPr>
      <w:r>
        <w:rPr>
          <w:rFonts w:ascii="黑体" w:hAnsi="黑体" w:eastAsia="黑体"/>
          <w:color w:val="000000" w:themeColor="text1"/>
          <w:sz w:val="28"/>
          <w:szCs w:val="28"/>
          <w14:textFill>
            <w14:solidFill>
              <w14:schemeClr w14:val="tx1"/>
            </w14:solidFill>
          </w14:textFill>
        </w:rPr>
        <w:t xml:space="preserve">附：                   </w:t>
      </w:r>
    </w:p>
    <w:p>
      <w:pPr>
        <w:jc w:val="center"/>
        <w:rPr>
          <w:rFonts w:ascii="宋体" w:hAnsi="宋体" w:cs="宋体"/>
          <w:b/>
          <w:color w:val="000000" w:themeColor="text1"/>
          <w:sz w:val="48"/>
          <w:szCs w:val="48"/>
          <w14:textFill>
            <w14:solidFill>
              <w14:schemeClr w14:val="tx1"/>
            </w14:solidFill>
          </w14:textFill>
        </w:rPr>
      </w:pPr>
      <w:r>
        <w:rPr>
          <w:rFonts w:hint="eastAsia" w:ascii="宋体" w:hAnsi="宋体" w:cs="宋体"/>
          <w:b/>
          <w:sz w:val="36"/>
          <w:szCs w:val="36"/>
        </w:rPr>
        <w:t>谈 判 响 应 确 认 函</w:t>
      </w:r>
    </w:p>
    <w:p>
      <w:pPr>
        <w:spacing w:line="500" w:lineRule="exact"/>
        <w:rPr>
          <w:rFonts w:ascii="宋体" w:hAnsi="宋体" w:cs="宋体"/>
          <w:sz w:val="28"/>
          <w:szCs w:val="28"/>
        </w:rPr>
      </w:pPr>
      <w:r>
        <w:rPr>
          <w:rFonts w:hint="eastAsia" w:ascii="宋体" w:hAnsi="宋体" w:cs="宋体"/>
          <w:bCs/>
          <w:color w:val="000000" w:themeColor="text1"/>
          <w:sz w:val="28"/>
          <w:szCs w:val="28"/>
          <w:u w:val="single"/>
          <w14:textFill>
            <w14:solidFill>
              <w14:schemeClr w14:val="tx1"/>
            </w14:solidFill>
          </w14:textFill>
        </w:rPr>
        <w:t>浙江广厦建设职业技术大学</w:t>
      </w:r>
      <w:r>
        <w:rPr>
          <w:rFonts w:ascii="宋体" w:hAnsi="宋体" w:cs="宋体"/>
          <w:bCs/>
          <w:color w:val="000000" w:themeColor="text1"/>
          <w:sz w:val="28"/>
          <w:szCs w:val="28"/>
          <w:u w:val="single"/>
          <w14:textFill>
            <w14:solidFill>
              <w14:schemeClr w14:val="tx1"/>
            </w14:solidFill>
          </w14:textFill>
        </w:rPr>
        <w:t>：</w:t>
      </w:r>
    </w:p>
    <w:p>
      <w:pPr>
        <w:spacing w:line="700" w:lineRule="exact"/>
        <w:ind w:firstLine="573"/>
        <w:rPr>
          <w:rFonts w:ascii="宋体" w:hAnsi="宋体" w:cs="宋体"/>
          <w:sz w:val="28"/>
          <w:szCs w:val="28"/>
        </w:rPr>
      </w:pPr>
      <w:r>
        <w:rPr>
          <w:rFonts w:hint="eastAsia" w:ascii="宋体" w:hAnsi="宋体" w:cs="宋体"/>
          <w:sz w:val="28"/>
          <w:szCs w:val="28"/>
        </w:rPr>
        <w:t>关于贵方发布的浙江广厦建设职业技术大学</w:t>
      </w:r>
      <w:r>
        <w:rPr>
          <w:rFonts w:hint="eastAsia" w:ascii="宋体" w:hAnsi="宋体" w:cs="宋体"/>
          <w:sz w:val="28"/>
          <w:szCs w:val="28"/>
          <w:lang w:eastAsia="zh-CN"/>
        </w:rPr>
        <w:t>无线耳机采购项目</w:t>
      </w:r>
      <w:r>
        <w:rPr>
          <w:rFonts w:hint="eastAsia" w:ascii="宋体" w:hAnsi="宋体" w:cs="宋体"/>
          <w:sz w:val="28"/>
          <w:szCs w:val="28"/>
        </w:rPr>
        <w:t>竞争性谈判公告，本单位愿意参加该项目的谈判。现予以确认！</w:t>
      </w:r>
    </w:p>
    <w:p>
      <w:pPr>
        <w:spacing w:line="500" w:lineRule="exact"/>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报名标项：</w:t>
      </w:r>
      <w:r>
        <w:rPr>
          <w:rFonts w:ascii="宋体" w:hAnsi="宋体" w:cs="宋体"/>
          <w:color w:val="000000" w:themeColor="text1"/>
          <w:sz w:val="28"/>
          <w:szCs w:val="28"/>
          <w:u w:val="single"/>
          <w14:textFill>
            <w14:solidFill>
              <w14:schemeClr w14:val="tx1"/>
            </w14:solidFill>
          </w14:textFill>
        </w:rPr>
        <w:t xml:space="preserve">                                   </w:t>
      </w:r>
    </w:p>
    <w:p>
      <w:pPr>
        <w:spacing w:line="500" w:lineRule="exact"/>
        <w:rPr>
          <w:rFonts w:ascii="宋体" w:hAnsi="宋体" w:cs="宋体"/>
          <w:color w:val="000000" w:themeColor="text1"/>
          <w:sz w:val="28"/>
          <w:szCs w:val="28"/>
          <w14:textFill>
            <w14:solidFill>
              <w14:schemeClr w14:val="tx1"/>
            </w14:solidFill>
          </w14:textFill>
        </w:rPr>
      </w:pPr>
    </w:p>
    <w:p>
      <w:pPr>
        <w:spacing w:line="500" w:lineRule="exact"/>
        <w:rPr>
          <w:rFonts w:ascii="宋体" w:hAnsi="宋体" w:cs="宋体"/>
          <w:color w:val="000000" w:themeColor="text1"/>
          <w:sz w:val="28"/>
          <w:szCs w:val="28"/>
          <w:u w:val="single"/>
          <w14:textFill>
            <w14:solidFill>
              <w14:schemeClr w14:val="tx1"/>
            </w14:solidFill>
          </w14:textFill>
        </w:rPr>
      </w:pPr>
      <w:r>
        <w:rPr>
          <w:rFonts w:ascii="宋体" w:hAnsi="宋体" w:cs="宋体"/>
          <w:color w:val="000000" w:themeColor="text1"/>
          <w:sz w:val="28"/>
          <w:szCs w:val="28"/>
          <w14:textFill>
            <w14:solidFill>
              <w14:schemeClr w14:val="tx1"/>
            </w14:solidFill>
          </w14:textFill>
        </w:rPr>
        <w:t>单位名称（公章）：</w:t>
      </w:r>
      <w:r>
        <w:rPr>
          <w:rFonts w:ascii="宋体" w:hAnsi="宋体" w:cs="宋体"/>
          <w:color w:val="000000" w:themeColor="text1"/>
          <w:sz w:val="28"/>
          <w:szCs w:val="28"/>
          <w:u w:val="single"/>
          <w14:textFill>
            <w14:solidFill>
              <w14:schemeClr w14:val="tx1"/>
            </w14:solidFill>
          </w14:textFill>
        </w:rPr>
        <w:t xml:space="preserve">                                            </w:t>
      </w:r>
    </w:p>
    <w:p>
      <w:pPr>
        <w:spacing w:line="500" w:lineRule="exact"/>
        <w:rPr>
          <w:rFonts w:ascii="宋体" w:hAnsi="宋体" w:cs="宋体"/>
          <w:color w:val="000000" w:themeColor="text1"/>
          <w:sz w:val="28"/>
          <w:szCs w:val="28"/>
          <w:u w:val="single"/>
          <w14:textFill>
            <w14:solidFill>
              <w14:schemeClr w14:val="tx1"/>
            </w14:solidFill>
          </w14:textFill>
        </w:rPr>
      </w:pPr>
    </w:p>
    <w:p>
      <w:pPr>
        <w:spacing w:line="500" w:lineRule="exact"/>
        <w:rPr>
          <w:rFonts w:ascii="宋体" w:hAnsi="宋体" w:cs="宋体"/>
          <w:color w:val="000000" w:themeColor="text1"/>
          <w:sz w:val="28"/>
          <w:szCs w:val="28"/>
          <w:u w:val="single"/>
          <w14:textFill>
            <w14:solidFill>
              <w14:schemeClr w14:val="tx1"/>
            </w14:solidFill>
          </w14:textFill>
        </w:rPr>
      </w:pPr>
      <w:r>
        <w:rPr>
          <w:rFonts w:ascii="宋体" w:hAnsi="宋体" w:cs="宋体"/>
          <w:color w:val="000000" w:themeColor="text1"/>
          <w:sz w:val="28"/>
          <w:szCs w:val="28"/>
          <w14:textFill>
            <w14:solidFill>
              <w14:schemeClr w14:val="tx1"/>
            </w14:solidFill>
          </w14:textFill>
        </w:rPr>
        <w:t>法定代表人或授权代表（签章）：</w:t>
      </w:r>
      <w:r>
        <w:rPr>
          <w:rFonts w:ascii="宋体" w:hAnsi="宋体" w:cs="宋体"/>
          <w:color w:val="000000" w:themeColor="text1"/>
          <w:sz w:val="28"/>
          <w:szCs w:val="28"/>
          <w:u w:val="single"/>
          <w14:textFill>
            <w14:solidFill>
              <w14:schemeClr w14:val="tx1"/>
            </w14:solidFill>
          </w14:textFill>
        </w:rPr>
        <w:t xml:space="preserve">                                  </w:t>
      </w:r>
    </w:p>
    <w:p>
      <w:pPr>
        <w:spacing w:line="500" w:lineRule="exact"/>
        <w:rPr>
          <w:rFonts w:ascii="宋体" w:hAnsi="宋体" w:cs="宋体"/>
          <w:color w:val="000000" w:themeColor="text1"/>
          <w:sz w:val="28"/>
          <w:szCs w:val="28"/>
          <w:u w:val="single"/>
          <w14:textFill>
            <w14:solidFill>
              <w14:schemeClr w14:val="tx1"/>
            </w14:solidFill>
          </w14:textFill>
        </w:rPr>
      </w:pPr>
    </w:p>
    <w:p>
      <w:pPr>
        <w:spacing w:line="500" w:lineRule="exact"/>
        <w:rPr>
          <w:rFonts w:ascii="宋体" w:hAnsi="宋体" w:cs="宋体"/>
          <w:color w:val="000000" w:themeColor="text1"/>
          <w:sz w:val="28"/>
          <w:szCs w:val="28"/>
          <w:u w:val="single"/>
          <w14:textFill>
            <w14:solidFill>
              <w14:schemeClr w14:val="tx1"/>
            </w14:solidFill>
          </w14:textFill>
        </w:rPr>
      </w:pPr>
      <w:r>
        <w:rPr>
          <w:rFonts w:ascii="宋体" w:hAnsi="宋体" w:cs="宋体"/>
          <w:color w:val="000000" w:themeColor="text1"/>
          <w:sz w:val="28"/>
          <w:szCs w:val="28"/>
          <w:u w:val="single"/>
          <w14:textFill>
            <w14:solidFill>
              <w14:schemeClr w14:val="tx1"/>
            </w14:solidFill>
          </w14:textFill>
        </w:rPr>
        <w:t xml:space="preserve">                                 </w:t>
      </w:r>
    </w:p>
    <w:p>
      <w:pPr>
        <w:spacing w:line="500" w:lineRule="exact"/>
        <w:rPr>
          <w:rFonts w:ascii="宋体" w:hAnsi="宋体" w:cs="宋体"/>
          <w:color w:val="000000" w:themeColor="text1"/>
          <w:sz w:val="28"/>
          <w:szCs w:val="28"/>
          <w:u w:val="single"/>
          <w14:textFill>
            <w14:solidFill>
              <w14:schemeClr w14:val="tx1"/>
            </w14:solidFill>
          </w14:textFill>
        </w:rPr>
      </w:pPr>
    </w:p>
    <w:p>
      <w:pPr>
        <w:spacing w:line="500" w:lineRule="exact"/>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电  话：</w:t>
      </w:r>
      <w:r>
        <w:rPr>
          <w:rFonts w:ascii="宋体" w:hAnsi="宋体" w:cs="宋体"/>
          <w:color w:val="000000" w:themeColor="text1"/>
          <w:sz w:val="28"/>
          <w:szCs w:val="28"/>
          <w:u w:val="single"/>
          <w14:textFill>
            <w14:solidFill>
              <w14:schemeClr w14:val="tx1"/>
            </w14:solidFill>
          </w14:textFill>
        </w:rPr>
        <w:t xml:space="preserve">                       </w:t>
      </w:r>
      <w:r>
        <w:rPr>
          <w:rFonts w:ascii="宋体" w:hAnsi="宋体" w:cs="宋体"/>
          <w:color w:val="000000" w:themeColor="text1"/>
          <w:sz w:val="28"/>
          <w:szCs w:val="28"/>
          <w14:textFill>
            <w14:solidFill>
              <w14:schemeClr w14:val="tx1"/>
            </w14:solidFill>
          </w14:textFill>
        </w:rPr>
        <w:t>邮  编：</w:t>
      </w:r>
      <w:r>
        <w:rPr>
          <w:rFonts w:hint="eastAsia" w:ascii="宋体" w:hAnsi="宋体" w:cs="宋体"/>
          <w:color w:val="000000" w:themeColor="text1"/>
          <w:sz w:val="28"/>
          <w:szCs w:val="28"/>
          <w:u w:val="single"/>
          <w14:textFill>
            <w14:solidFill>
              <w14:schemeClr w14:val="tx1"/>
            </w14:solidFill>
          </w14:textFill>
        </w:rPr>
        <w:t xml:space="preserve">     </w:t>
      </w:r>
      <w:r>
        <w:rPr>
          <w:rFonts w:ascii="宋体" w:hAnsi="宋体" w:cs="宋体"/>
          <w:color w:val="000000" w:themeColor="text1"/>
          <w:sz w:val="28"/>
          <w:szCs w:val="28"/>
          <w:u w:val="single"/>
          <w14:textFill>
            <w14:solidFill>
              <w14:schemeClr w14:val="tx1"/>
            </w14:solidFill>
          </w14:textFill>
        </w:rPr>
        <w:t xml:space="preserve">                     </w:t>
      </w:r>
      <w:r>
        <w:rPr>
          <w:rFonts w:ascii="宋体" w:hAnsi="宋体" w:cs="宋体"/>
          <w:color w:val="000000" w:themeColor="text1"/>
          <w:sz w:val="28"/>
          <w:szCs w:val="28"/>
          <w14:textFill>
            <w14:solidFill>
              <w14:schemeClr w14:val="tx1"/>
            </w14:solidFill>
          </w14:textFill>
        </w:rPr>
        <w:t xml:space="preserve">                       </w:t>
      </w:r>
      <w:r>
        <w:rPr>
          <w:rFonts w:ascii="宋体" w:hAnsi="宋体" w:cs="宋体"/>
          <w:color w:val="000000" w:themeColor="text1"/>
          <w:sz w:val="28"/>
          <w:szCs w:val="28"/>
          <w:u w:val="single"/>
          <w14:textFill>
            <w14:solidFill>
              <w14:schemeClr w14:val="tx1"/>
            </w14:solidFill>
          </w14:textFill>
        </w:rPr>
        <w:t xml:space="preserve"> </w:t>
      </w:r>
    </w:p>
    <w:p>
      <w:pPr>
        <w:spacing w:line="500" w:lineRule="exact"/>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 xml:space="preserve"> </w:t>
      </w:r>
    </w:p>
    <w:p>
      <w:pPr>
        <w:spacing w:line="500" w:lineRule="exact"/>
        <w:rPr>
          <w:rFonts w:ascii="宋体" w:hAnsi="宋体" w:cs="宋体"/>
          <w:color w:val="000000" w:themeColor="text1"/>
          <w:sz w:val="28"/>
          <w:szCs w:val="28"/>
          <w:u w:val="single"/>
          <w14:textFill>
            <w14:solidFill>
              <w14:schemeClr w14:val="tx1"/>
            </w14:solidFill>
          </w14:textFill>
        </w:rPr>
      </w:pPr>
      <w:r>
        <w:rPr>
          <w:rFonts w:ascii="宋体" w:hAnsi="宋体" w:cs="宋体"/>
          <w:color w:val="000000" w:themeColor="text1"/>
          <w:sz w:val="28"/>
          <w:szCs w:val="28"/>
          <w14:textFill>
            <w14:solidFill>
              <w14:schemeClr w14:val="tx1"/>
            </w14:solidFill>
          </w14:textFill>
        </w:rPr>
        <w:t>传  真：</w:t>
      </w:r>
      <w:r>
        <w:rPr>
          <w:rFonts w:ascii="宋体" w:hAnsi="宋体" w:cs="宋体"/>
          <w:color w:val="000000" w:themeColor="text1"/>
          <w:sz w:val="28"/>
          <w:szCs w:val="28"/>
          <w:u w:val="single"/>
          <w14:textFill>
            <w14:solidFill>
              <w14:schemeClr w14:val="tx1"/>
            </w14:solidFill>
          </w14:textFill>
        </w:rPr>
        <w:t xml:space="preserve">                       </w:t>
      </w:r>
      <w:r>
        <w:rPr>
          <w:rFonts w:ascii="宋体" w:hAnsi="宋体" w:cs="宋体"/>
          <w:color w:val="000000" w:themeColor="text1"/>
          <w:sz w:val="28"/>
          <w:szCs w:val="28"/>
          <w14:textFill>
            <w14:solidFill>
              <w14:schemeClr w14:val="tx1"/>
            </w14:solidFill>
          </w14:textFill>
        </w:rPr>
        <w:t>日  期：</w:t>
      </w:r>
      <w:r>
        <w:rPr>
          <w:rFonts w:ascii="宋体" w:hAnsi="宋体" w:cs="宋体"/>
          <w:color w:val="000000" w:themeColor="text1"/>
          <w:sz w:val="28"/>
          <w:szCs w:val="28"/>
          <w:u w:val="single"/>
          <w14:textFill>
            <w14:solidFill>
              <w14:schemeClr w14:val="tx1"/>
            </w14:solidFill>
          </w14:textFill>
        </w:rPr>
        <w:t xml:space="preserve">                     </w:t>
      </w:r>
    </w:p>
    <w:p>
      <w:pPr>
        <w:spacing w:line="500" w:lineRule="exact"/>
        <w:rPr>
          <w:rFonts w:ascii="宋体" w:hAnsi="宋体" w:cs="宋体"/>
          <w:color w:val="000000" w:themeColor="text1"/>
          <w:sz w:val="28"/>
          <w:szCs w:val="28"/>
          <w:u w:val="single"/>
          <w14:textFill>
            <w14:solidFill>
              <w14:schemeClr w14:val="tx1"/>
            </w14:solidFill>
          </w14:textFill>
        </w:rPr>
      </w:pPr>
    </w:p>
    <w:p>
      <w:pPr>
        <w:spacing w:line="500" w:lineRule="exact"/>
        <w:rPr>
          <w:rFonts w:ascii="宋体" w:hAnsi="宋体" w:cs="宋体"/>
          <w:color w:val="000000" w:themeColor="text1"/>
          <w:sz w:val="32"/>
          <w:u w:val="single"/>
          <w14:textFill>
            <w14:solidFill>
              <w14:schemeClr w14:val="tx1"/>
            </w14:solidFill>
          </w14:textFill>
        </w:rPr>
      </w:pPr>
      <w:r>
        <w:rPr>
          <w:rFonts w:ascii="宋体" w:hAnsi="宋体" w:cs="宋体"/>
          <w:color w:val="000000" w:themeColor="text1"/>
          <w:sz w:val="28"/>
          <w:szCs w:val="28"/>
          <w14:textFill>
            <w14:solidFill>
              <w14:schemeClr w14:val="tx1"/>
            </w14:solidFill>
          </w14:textFill>
        </w:rPr>
        <w:t>联系人：</w:t>
      </w:r>
      <w:r>
        <w:rPr>
          <w:rFonts w:ascii="宋体" w:hAnsi="宋体" w:cs="宋体"/>
          <w:color w:val="000000" w:themeColor="text1"/>
          <w:sz w:val="28"/>
          <w:szCs w:val="28"/>
          <w:u w:val="single"/>
          <w14:textFill>
            <w14:solidFill>
              <w14:schemeClr w14:val="tx1"/>
            </w14:solidFill>
          </w14:textFill>
        </w:rPr>
        <w:t xml:space="preserve">                       </w:t>
      </w:r>
      <w:r>
        <w:rPr>
          <w:rFonts w:ascii="宋体" w:hAnsi="宋体" w:cs="宋体"/>
          <w:color w:val="000000" w:themeColor="text1"/>
          <w:sz w:val="28"/>
          <w:szCs w:val="28"/>
          <w14:textFill>
            <w14:solidFill>
              <w14:schemeClr w14:val="tx1"/>
            </w14:solidFill>
          </w14:textFill>
        </w:rPr>
        <w:t>手机号码：</w:t>
      </w:r>
      <w:r>
        <w:rPr>
          <w:rFonts w:ascii="宋体" w:hAnsi="宋体" w:cs="宋体"/>
          <w:color w:val="000000" w:themeColor="text1"/>
          <w:sz w:val="28"/>
          <w:szCs w:val="28"/>
          <w:u w:val="single"/>
          <w14:textFill>
            <w14:solidFill>
              <w14:schemeClr w14:val="tx1"/>
            </w14:solidFill>
          </w14:textFill>
        </w:rPr>
        <w:t xml:space="preserve">                 </w:t>
      </w:r>
      <w:r>
        <w:rPr>
          <w:rFonts w:ascii="宋体" w:hAnsi="宋体" w:cs="宋体"/>
          <w:color w:val="000000" w:themeColor="text1"/>
          <w:sz w:val="32"/>
          <w:u w:val="single"/>
          <w14:textFill>
            <w14:solidFill>
              <w14:schemeClr w14:val="tx1"/>
            </w14:solidFill>
          </w14:textFill>
        </w:rPr>
        <w:t xml:space="preserve">   </w:t>
      </w:r>
    </w:p>
    <w:p>
      <w:pPr>
        <w:widowControl/>
        <w:spacing w:line="500" w:lineRule="exact"/>
        <w:jc w:val="left"/>
        <w:rPr>
          <w:rFonts w:ascii="宋体" w:hAnsi="宋体" w:cs="宋体"/>
          <w:color w:val="000000" w:themeColor="text1"/>
          <w:sz w:val="28"/>
          <w:szCs w:val="28"/>
          <w:u w:val="single"/>
          <w14:textFill>
            <w14:solidFill>
              <w14:schemeClr w14:val="tx1"/>
            </w14:solidFill>
          </w14:textFill>
        </w:rPr>
      </w:pPr>
    </w:p>
    <w:p>
      <w:pPr>
        <w:widowControl/>
        <w:spacing w:line="500" w:lineRule="exact"/>
        <w:jc w:val="left"/>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电子邮箱：</w:t>
      </w:r>
      <w:r>
        <w:rPr>
          <w:rFonts w:ascii="宋体" w:hAnsi="宋体" w:cs="宋体"/>
          <w:color w:val="000000" w:themeColor="text1"/>
          <w:sz w:val="28"/>
          <w:szCs w:val="28"/>
          <w:u w:val="single"/>
          <w14:textFill>
            <w14:solidFill>
              <w14:schemeClr w14:val="tx1"/>
            </w14:solidFill>
          </w14:textFill>
        </w:rPr>
        <w:t xml:space="preserve">                       </w:t>
      </w:r>
    </w:p>
    <w:p>
      <w:pPr>
        <w:widowControl/>
        <w:spacing w:line="192" w:lineRule="auto"/>
        <w:jc w:val="left"/>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注：此投标确认</w:t>
      </w:r>
      <w:r>
        <w:rPr>
          <w:rFonts w:ascii="宋体" w:hAnsi="宋体" w:cs="宋体"/>
          <w:color w:val="auto"/>
          <w:sz w:val="28"/>
          <w:szCs w:val="28"/>
        </w:rPr>
        <w:t>函请于</w:t>
      </w:r>
      <w:r>
        <w:rPr>
          <w:rFonts w:hint="eastAsia" w:ascii="宋体" w:hAnsi="宋体" w:cs="宋体"/>
          <w:color w:val="auto"/>
          <w:sz w:val="28"/>
          <w:szCs w:val="28"/>
        </w:rPr>
        <w:t>2021年</w:t>
      </w:r>
      <w:r>
        <w:rPr>
          <w:rFonts w:hint="eastAsia" w:ascii="宋体" w:hAnsi="宋体" w:cs="宋体"/>
          <w:color w:val="auto"/>
          <w:sz w:val="28"/>
          <w:szCs w:val="28"/>
          <w:lang w:val="en-US" w:eastAsia="zh-CN"/>
        </w:rPr>
        <w:t>11</w:t>
      </w:r>
      <w:r>
        <w:rPr>
          <w:rFonts w:hint="eastAsia" w:ascii="宋体" w:hAnsi="宋体" w:cs="宋体"/>
          <w:color w:val="auto"/>
          <w:sz w:val="28"/>
          <w:szCs w:val="28"/>
        </w:rPr>
        <w:t>月2</w:t>
      </w:r>
      <w:r>
        <w:rPr>
          <w:rFonts w:hint="eastAsia" w:ascii="宋体" w:hAnsi="宋体" w:cs="宋体"/>
          <w:color w:val="auto"/>
          <w:sz w:val="28"/>
          <w:szCs w:val="28"/>
          <w:lang w:val="en-US" w:eastAsia="zh-CN"/>
        </w:rPr>
        <w:t>5</w:t>
      </w:r>
      <w:r>
        <w:rPr>
          <w:rFonts w:hint="eastAsia" w:ascii="宋体" w:hAnsi="宋体" w:cs="宋体"/>
          <w:color w:val="auto"/>
          <w:sz w:val="28"/>
          <w:szCs w:val="28"/>
        </w:rPr>
        <w:t>日16时00分前</w:t>
      </w:r>
      <w:r>
        <w:rPr>
          <w:rFonts w:ascii="宋体" w:hAnsi="宋体" w:cs="宋体"/>
          <w:color w:val="auto"/>
          <w:sz w:val="28"/>
          <w:szCs w:val="28"/>
        </w:rPr>
        <w:t>通</w:t>
      </w:r>
      <w:r>
        <w:rPr>
          <w:rFonts w:ascii="宋体" w:hAnsi="宋体" w:cs="宋体"/>
          <w:color w:val="000000" w:themeColor="text1"/>
          <w:sz w:val="28"/>
          <w:szCs w:val="28"/>
          <w14:textFill>
            <w14:solidFill>
              <w14:schemeClr w14:val="tx1"/>
            </w14:solidFill>
          </w14:textFill>
        </w:rPr>
        <w:t>过邮箱方式</w:t>
      </w:r>
      <w:r>
        <w:rPr>
          <w:rFonts w:hint="eastAsia" w:ascii="宋体" w:hAnsi="宋体" w:cs="宋体"/>
          <w:color w:val="000000" w:themeColor="text1"/>
          <w:sz w:val="28"/>
          <w:szCs w:val="28"/>
          <w14:textFill>
            <w14:solidFill>
              <w14:schemeClr w14:val="tx1"/>
            </w14:solidFill>
          </w14:textFill>
        </w:rPr>
        <w:t>或</w:t>
      </w:r>
      <w:r>
        <w:rPr>
          <w:rFonts w:ascii="宋体" w:hAnsi="宋体" w:cs="宋体"/>
          <w:color w:val="000000" w:themeColor="text1"/>
          <w:sz w:val="28"/>
          <w:szCs w:val="28"/>
          <w14:textFill>
            <w14:solidFill>
              <w14:schemeClr w14:val="tx1"/>
            </w14:solidFill>
          </w14:textFill>
        </w:rPr>
        <w:t>送达</w:t>
      </w:r>
      <w:r>
        <w:rPr>
          <w:rFonts w:hint="eastAsia" w:ascii="宋体" w:hAnsi="宋体" w:cs="宋体"/>
          <w:color w:val="000000" w:themeColor="text1"/>
          <w:sz w:val="28"/>
          <w:szCs w:val="28"/>
          <w14:textFill>
            <w14:solidFill>
              <w14:schemeClr w14:val="tx1"/>
            </w14:solidFill>
          </w14:textFill>
        </w:rPr>
        <w:t>至浙江广厦建设职业技术大学213办公室</w:t>
      </w:r>
      <w:r>
        <w:rPr>
          <w:rFonts w:ascii="宋体" w:hAnsi="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14:textFill>
            <w14:solidFill>
              <w14:schemeClr w14:val="tx1"/>
            </w14:solidFill>
          </w14:textFill>
        </w:rPr>
        <w:t>电话</w:t>
      </w:r>
      <w:r>
        <w:rPr>
          <w:rFonts w:ascii="宋体" w:hAnsi="宋体" w:cs="宋体"/>
          <w:color w:val="000000" w:themeColor="text1"/>
          <w:sz w:val="28"/>
          <w:szCs w:val="28"/>
          <w14:textFill>
            <w14:solidFill>
              <w14:schemeClr w14:val="tx1"/>
            </w14:solidFill>
          </w14:textFill>
        </w:rPr>
        <w:t>：0579-866</w:t>
      </w:r>
      <w:r>
        <w:rPr>
          <w:rFonts w:hint="eastAsia" w:ascii="宋体" w:hAnsi="宋体" w:cs="宋体"/>
          <w:color w:val="000000" w:themeColor="text1"/>
          <w:sz w:val="28"/>
          <w:szCs w:val="28"/>
          <w14:textFill>
            <w14:solidFill>
              <w14:schemeClr w14:val="tx1"/>
            </w14:solidFill>
          </w14:textFill>
        </w:rPr>
        <w:t>64725</w:t>
      </w:r>
      <w:r>
        <w:rPr>
          <w:rFonts w:ascii="宋体" w:hAnsi="宋体" w:cs="宋体"/>
          <w:color w:val="000000" w:themeColor="text1"/>
          <w:sz w:val="28"/>
          <w:szCs w:val="28"/>
          <w14:textFill>
            <w14:solidFill>
              <w14:schemeClr w14:val="tx1"/>
            </w14:solidFill>
          </w14:textFill>
        </w:rPr>
        <w:t>，邮箱：</w:t>
      </w:r>
      <w:r>
        <w:rPr>
          <w:rFonts w:hint="eastAsia" w:ascii="宋体" w:hAnsi="宋体" w:cs="宋体"/>
          <w:color w:val="000000" w:themeColor="text1"/>
          <w:sz w:val="28"/>
          <w:szCs w:val="28"/>
          <w14:textFill>
            <w14:solidFill>
              <w14:schemeClr w14:val="tx1"/>
            </w14:solidFill>
          </w14:textFill>
        </w:rPr>
        <w:t>953715462</w:t>
      </w:r>
      <w:r>
        <w:rPr>
          <w:rFonts w:ascii="宋体" w:hAnsi="宋体" w:cs="宋体"/>
          <w:color w:val="000000" w:themeColor="text1"/>
          <w:sz w:val="28"/>
          <w:szCs w:val="28"/>
          <w14:textFill>
            <w14:solidFill>
              <w14:schemeClr w14:val="tx1"/>
            </w14:solidFill>
          </w14:textFill>
        </w:rPr>
        <w:t>@qq.com）。</w:t>
      </w:r>
      <w:r>
        <w:rPr>
          <w:color w:val="000000" w:themeColor="text1"/>
          <w14:textFill>
            <w14:solidFill>
              <w14:schemeClr w14:val="tx1"/>
            </w14:solidFill>
          </w14:textFill>
        </w:rPr>
        <w:br w:type="page"/>
      </w:r>
    </w:p>
    <w:p>
      <w:pPr>
        <w:pStyle w:val="44"/>
        <w:snapToGrid w:val="0"/>
        <w:spacing w:line="480" w:lineRule="auto"/>
        <w:jc w:val="center"/>
        <w:outlineLvl w:val="0"/>
        <w:rPr>
          <w:rFonts w:asciiTheme="majorEastAsia" w:hAnsiTheme="majorEastAsia" w:eastAsiaTheme="majorEastAsia"/>
          <w:b/>
          <w:color w:val="000000" w:themeColor="text1"/>
          <w:sz w:val="32"/>
          <w:szCs w:val="32"/>
          <w14:textFill>
            <w14:solidFill>
              <w14:schemeClr w14:val="tx1"/>
            </w14:solidFill>
          </w14:textFill>
        </w:rPr>
      </w:pPr>
      <w:bookmarkStart w:id="1" w:name="_Toc28700"/>
      <w:r>
        <w:rPr>
          <w:rFonts w:asciiTheme="majorEastAsia" w:hAnsiTheme="majorEastAsia" w:eastAsiaTheme="majorEastAsia"/>
          <w:b/>
          <w:color w:val="000000" w:themeColor="text1"/>
          <w:sz w:val="32"/>
          <w:szCs w:val="32"/>
          <w14:textFill>
            <w14:solidFill>
              <w14:schemeClr w14:val="tx1"/>
            </w14:solidFill>
          </w14:textFill>
        </w:rPr>
        <w:t xml:space="preserve">第二章  </w:t>
      </w:r>
      <w:r>
        <w:rPr>
          <w:rFonts w:hint="eastAsia" w:cs="宋体" w:asciiTheme="majorEastAsia" w:hAnsiTheme="majorEastAsia" w:eastAsiaTheme="majorEastAsia"/>
          <w:b/>
          <w:sz w:val="32"/>
          <w:szCs w:val="32"/>
        </w:rPr>
        <w:t>采购项目需求</w:t>
      </w:r>
      <w:bookmarkEnd w:id="1"/>
    </w:p>
    <w:p>
      <w:pPr>
        <w:spacing w:line="480" w:lineRule="auto"/>
        <w:rPr>
          <w:rFonts w:hint="eastAsia" w:ascii="宋体" w:hAnsi="宋体" w:eastAsia="宋体" w:cs="宋体"/>
          <w:color w:val="000000" w:themeColor="text1"/>
          <w:sz w:val="24"/>
          <w:lang w:eastAsia="zh-CN"/>
          <w14:textFill>
            <w14:solidFill>
              <w14:schemeClr w14:val="tx1"/>
            </w14:solidFill>
          </w14:textFill>
        </w:rPr>
      </w:pPr>
      <w:r>
        <w:rPr>
          <w:rFonts w:ascii="宋体" w:hAnsi="宋体" w:cs="宋体"/>
          <w:color w:val="000000" w:themeColor="text1"/>
          <w:sz w:val="24"/>
          <w14:textFill>
            <w14:solidFill>
              <w14:schemeClr w14:val="tx1"/>
            </w14:solidFill>
          </w14:textFill>
        </w:rPr>
        <w:t>编号：</w:t>
      </w:r>
      <w:r>
        <w:rPr>
          <w:rFonts w:hint="eastAsia" w:ascii="宋体" w:hAnsi="宋体" w:cs="宋体"/>
          <w:color w:val="000000" w:themeColor="text1"/>
          <w:kern w:val="0"/>
          <w:sz w:val="24"/>
          <w:lang w:eastAsia="zh-CN"/>
          <w14:textFill>
            <w14:solidFill>
              <w14:schemeClr w14:val="tx1"/>
            </w14:solidFill>
          </w14:textFill>
        </w:rPr>
        <w:t>ZJGS2021-C018</w:t>
      </w:r>
    </w:p>
    <w:p>
      <w:pPr>
        <w:spacing w:line="480" w:lineRule="auto"/>
        <w:rPr>
          <w:rFonts w:hint="eastAsia" w:eastAsia="宋体"/>
          <w:bCs/>
          <w:color w:val="000000" w:themeColor="text1"/>
          <w:lang w:eastAsia="zh-CN"/>
          <w14:textFill>
            <w14:solidFill>
              <w14:schemeClr w14:val="tx1"/>
            </w14:solidFill>
          </w14:textFill>
        </w:rPr>
      </w:pPr>
      <w:r>
        <w:rPr>
          <w:rFonts w:ascii="宋体" w:hAnsi="宋体" w:cs="宋体"/>
          <w:color w:val="000000" w:themeColor="text1"/>
          <w:sz w:val="24"/>
          <w14:textFill>
            <w14:solidFill>
              <w14:schemeClr w14:val="tx1"/>
            </w14:solidFill>
          </w14:textFill>
        </w:rPr>
        <w:t>采购项目名称：</w:t>
      </w:r>
      <w:r>
        <w:rPr>
          <w:rFonts w:hint="eastAsia" w:ascii="宋体" w:hAnsi="宋体" w:cs="Arial"/>
          <w:bCs/>
          <w:color w:val="000000" w:themeColor="text1"/>
          <w:sz w:val="24"/>
          <w:szCs w:val="20"/>
          <w14:textFill>
            <w14:solidFill>
              <w14:schemeClr w14:val="tx1"/>
            </w14:solidFill>
          </w14:textFill>
        </w:rPr>
        <w:t>浙江广厦建设职业技术大学</w:t>
      </w:r>
      <w:r>
        <w:rPr>
          <w:rFonts w:hint="eastAsia" w:ascii="宋体" w:hAnsi="宋体" w:cs="Arial"/>
          <w:bCs/>
          <w:color w:val="000000" w:themeColor="text1"/>
          <w:sz w:val="24"/>
          <w:szCs w:val="20"/>
          <w:lang w:eastAsia="zh-CN"/>
          <w14:textFill>
            <w14:solidFill>
              <w14:schemeClr w14:val="tx1"/>
            </w14:solidFill>
          </w14:textFill>
        </w:rPr>
        <w:t>无线耳机采购项目</w:t>
      </w:r>
    </w:p>
    <w:p>
      <w:pPr>
        <w:numPr>
          <w:ilvl w:val="0"/>
          <w:numId w:val="3"/>
        </w:numPr>
        <w:spacing w:line="276" w:lineRule="auto"/>
        <w:rPr>
          <w:rFonts w:ascii="宋体" w:hAnsi="宋体" w:cs="Arial"/>
          <w:b/>
          <w:color w:val="000000" w:themeColor="text1"/>
          <w:sz w:val="28"/>
          <w:szCs w:val="28"/>
          <w14:textFill>
            <w14:solidFill>
              <w14:schemeClr w14:val="tx1"/>
            </w14:solidFill>
          </w14:textFill>
        </w:rPr>
      </w:pPr>
      <w:r>
        <w:rPr>
          <w:rFonts w:ascii="宋体" w:hAnsi="宋体" w:cs="Arial"/>
          <w:b/>
          <w:color w:val="000000" w:themeColor="text1"/>
          <w:sz w:val="28"/>
          <w:szCs w:val="28"/>
          <w14:textFill>
            <w14:solidFill>
              <w14:schemeClr w14:val="tx1"/>
            </w14:solidFill>
          </w14:textFill>
        </w:rPr>
        <w:t xml:space="preserve">采购内容及数量 </w:t>
      </w:r>
    </w:p>
    <w:tbl>
      <w:tblPr>
        <w:tblStyle w:val="21"/>
        <w:tblW w:w="8856" w:type="dxa"/>
        <w:tblInd w:w="40" w:type="dxa"/>
        <w:tblLayout w:type="fixed"/>
        <w:tblCellMar>
          <w:top w:w="0" w:type="dxa"/>
          <w:left w:w="108" w:type="dxa"/>
          <w:bottom w:w="0" w:type="dxa"/>
          <w:right w:w="108" w:type="dxa"/>
        </w:tblCellMar>
      </w:tblPr>
      <w:tblGrid>
        <w:gridCol w:w="4791"/>
        <w:gridCol w:w="1785"/>
        <w:gridCol w:w="2280"/>
      </w:tblGrid>
      <w:tr>
        <w:tblPrEx>
          <w:tblCellMar>
            <w:top w:w="0" w:type="dxa"/>
            <w:left w:w="108" w:type="dxa"/>
            <w:bottom w:w="0" w:type="dxa"/>
            <w:right w:w="108" w:type="dxa"/>
          </w:tblCellMar>
        </w:tblPrEx>
        <w:trPr>
          <w:trHeight w:val="795" w:hRule="atLeast"/>
        </w:trPr>
        <w:tc>
          <w:tcPr>
            <w:tcW w:w="4791"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Fonts w:ascii="宋体" w:hAnsi="宋体"/>
                <w:color w:val="000000" w:themeColor="text1"/>
                <w:kern w:val="0"/>
                <w:sz w:val="24"/>
                <w:lang w:val="zh-CN"/>
                <w14:textFill>
                  <w14:solidFill>
                    <w14:schemeClr w14:val="tx1"/>
                  </w14:solidFill>
                </w14:textFill>
              </w:rPr>
            </w:pPr>
            <w:r>
              <w:rPr>
                <w:rFonts w:ascii="宋体" w:hAnsi="宋体"/>
                <w:color w:val="000000" w:themeColor="text1"/>
                <w:kern w:val="0"/>
                <w:sz w:val="24"/>
                <w:lang w:val="zh-CN"/>
                <w14:textFill>
                  <w14:solidFill>
                    <w14:schemeClr w14:val="tx1"/>
                  </w14:solidFill>
                </w14:textFill>
              </w:rPr>
              <w:t>采购内容</w:t>
            </w:r>
          </w:p>
        </w:tc>
        <w:tc>
          <w:tcPr>
            <w:tcW w:w="1785" w:type="dxa"/>
            <w:tcBorders>
              <w:top w:val="single" w:color="000000" w:sz="4" w:space="0"/>
              <w:left w:val="single" w:color="000000" w:sz="4" w:space="0"/>
              <w:bottom w:val="single" w:color="000000" w:sz="4" w:space="0"/>
              <w:right w:val="single" w:color="000000" w:sz="4" w:space="0"/>
            </w:tcBorders>
            <w:vAlign w:val="center"/>
          </w:tcPr>
          <w:p>
            <w:pPr>
              <w:spacing w:before="60" w:after="60" w:line="400" w:lineRule="exact"/>
              <w:ind w:right="60"/>
              <w:jc w:val="center"/>
              <w:rPr>
                <w:rFonts w:hint="eastAsia" w:ascii="宋体" w:hAnsi="宋体" w:eastAsia="宋体"/>
                <w:b/>
                <w:color w:val="000000"/>
                <w:sz w:val="24"/>
                <w:lang w:val="en-US" w:eastAsia="zh-CN"/>
              </w:rPr>
            </w:pPr>
            <w:r>
              <w:rPr>
                <w:rFonts w:hint="eastAsia" w:ascii="宋体" w:hAnsi="宋体"/>
                <w:b/>
                <w:color w:val="000000"/>
                <w:sz w:val="24"/>
                <w:lang w:val="en-US" w:eastAsia="zh-CN"/>
              </w:rPr>
              <w:t>暂定数量</w:t>
            </w:r>
          </w:p>
        </w:tc>
        <w:tc>
          <w:tcPr>
            <w:tcW w:w="2280" w:type="dxa"/>
            <w:tcBorders>
              <w:top w:val="single" w:color="000000" w:sz="4" w:space="0"/>
              <w:left w:val="single" w:color="000000" w:sz="4" w:space="0"/>
              <w:bottom w:val="single" w:color="000000" w:sz="4" w:space="0"/>
              <w:right w:val="single" w:color="000000" w:sz="4" w:space="0"/>
            </w:tcBorders>
            <w:vAlign w:val="center"/>
          </w:tcPr>
          <w:p>
            <w:pPr>
              <w:spacing w:before="60" w:after="60" w:line="400" w:lineRule="exact"/>
              <w:ind w:right="60"/>
              <w:jc w:val="center"/>
              <w:rPr>
                <w:rFonts w:ascii="宋体" w:hAnsi="宋体"/>
                <w:b/>
                <w:color w:val="000000"/>
                <w:sz w:val="24"/>
                <w:lang w:val="zh-CN"/>
              </w:rPr>
            </w:pPr>
            <w:r>
              <w:rPr>
                <w:rFonts w:hint="eastAsia" w:ascii="宋体" w:hAnsi="宋体"/>
                <w:b/>
                <w:color w:val="000000"/>
                <w:sz w:val="24"/>
                <w:lang w:val="zh-CN"/>
              </w:rPr>
              <w:t>最高限价</w:t>
            </w:r>
          </w:p>
        </w:tc>
      </w:tr>
      <w:tr>
        <w:tblPrEx>
          <w:tblCellMar>
            <w:top w:w="0" w:type="dxa"/>
            <w:left w:w="108" w:type="dxa"/>
            <w:bottom w:w="0" w:type="dxa"/>
            <w:right w:w="108" w:type="dxa"/>
          </w:tblCellMar>
        </w:tblPrEx>
        <w:trPr>
          <w:trHeight w:val="782" w:hRule="atLeast"/>
        </w:trPr>
        <w:tc>
          <w:tcPr>
            <w:tcW w:w="4791" w:type="dxa"/>
            <w:tcBorders>
              <w:top w:val="single" w:color="000000" w:sz="4" w:space="0"/>
              <w:left w:val="single" w:color="000000" w:sz="4" w:space="0"/>
              <w:bottom w:val="single" w:color="000000" w:sz="4" w:space="0"/>
              <w:right w:val="single" w:color="000000" w:sz="4" w:space="0"/>
            </w:tcBorders>
            <w:vAlign w:val="center"/>
          </w:tcPr>
          <w:p>
            <w:pPr>
              <w:pStyle w:val="47"/>
              <w:spacing w:line="400" w:lineRule="exact"/>
              <w:ind w:firstLine="0" w:firstLineChars="0"/>
              <w:jc w:val="center"/>
              <w:rPr>
                <w:rFonts w:hint="eastAsia" w:ascii="宋体" w:hAnsi="宋体" w:eastAsia="宋体"/>
                <w:color w:val="000000" w:themeColor="text1"/>
                <w:kern w:val="0"/>
                <w:sz w:val="24"/>
                <w:lang w:val="zh-CN" w:eastAsia="zh-CN"/>
                <w14:textFill>
                  <w14:solidFill>
                    <w14:schemeClr w14:val="tx1"/>
                  </w14:solidFill>
                </w14:textFill>
              </w:rPr>
            </w:pPr>
            <w:r>
              <w:rPr>
                <w:rFonts w:hint="eastAsia" w:ascii="宋体" w:hAnsi="宋体" w:cs="Arial"/>
                <w:bCs/>
                <w:color w:val="000000" w:themeColor="text1"/>
                <w:sz w:val="24"/>
                <w:szCs w:val="20"/>
                <w:lang w:eastAsia="zh-CN"/>
                <w14:textFill>
                  <w14:solidFill>
                    <w14:schemeClr w14:val="tx1"/>
                  </w14:solidFill>
                </w14:textFill>
              </w:rPr>
              <w:t>无线耳机采购项目</w:t>
            </w:r>
          </w:p>
        </w:tc>
        <w:tc>
          <w:tcPr>
            <w:tcW w:w="178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default" w:ascii="宋体" w:hAnsi="宋体" w:eastAsia="宋体"/>
                <w:color w:val="000000"/>
                <w:sz w:val="24"/>
                <w:lang w:val="en-US" w:eastAsia="zh-CN"/>
              </w:rPr>
            </w:pPr>
            <w:r>
              <w:rPr>
                <w:rFonts w:hint="eastAsia" w:ascii="宋体" w:hAnsi="宋体"/>
                <w:color w:val="000000"/>
                <w:sz w:val="24"/>
                <w:lang w:val="en-US" w:eastAsia="zh-CN"/>
              </w:rPr>
              <w:t>4500</w:t>
            </w:r>
          </w:p>
        </w:tc>
        <w:tc>
          <w:tcPr>
            <w:tcW w:w="228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default" w:ascii="宋体" w:hAnsi="宋体" w:eastAsia="宋体"/>
                <w:color w:val="000000"/>
                <w:sz w:val="24"/>
                <w:lang w:val="en-US" w:eastAsia="zh-CN"/>
              </w:rPr>
            </w:pPr>
            <w:r>
              <w:rPr>
                <w:rFonts w:hint="eastAsia" w:ascii="宋体" w:hAnsi="宋体"/>
                <w:color w:val="000000"/>
                <w:sz w:val="24"/>
                <w:lang w:val="en-US" w:eastAsia="zh-CN"/>
              </w:rPr>
              <w:t>25元/只</w:t>
            </w:r>
          </w:p>
        </w:tc>
      </w:tr>
    </w:tbl>
    <w:p/>
    <w:p>
      <w:pPr>
        <w:numPr>
          <w:ilvl w:val="0"/>
          <w:numId w:val="4"/>
        </w:numPr>
        <w:spacing w:line="360" w:lineRule="auto"/>
        <w:rPr>
          <w:rFonts w:ascii="宋体" w:hAnsi="宋体"/>
          <w:b/>
          <w:sz w:val="32"/>
          <w:szCs w:val="32"/>
        </w:rPr>
      </w:pPr>
      <w:r>
        <w:rPr>
          <w:rFonts w:cs="宋体"/>
          <w:b/>
          <w:sz w:val="28"/>
          <w:szCs w:val="28"/>
        </w:rPr>
        <w:t>技术参数及要求</w:t>
      </w:r>
    </w:p>
    <w:p>
      <w:pPr>
        <w:pStyle w:val="8"/>
        <w:spacing w:line="360" w:lineRule="auto"/>
        <w:rPr>
          <w:rFonts w:cs="宋体"/>
          <w:b/>
          <w:sz w:val="28"/>
          <w:szCs w:val="28"/>
        </w:rPr>
      </w:pPr>
      <w:r>
        <w:rPr>
          <w:rFonts w:hint="eastAsia" w:ascii="宋体" w:hAnsi="宋体" w:eastAsia="宋体" w:cs="宋体"/>
          <w:sz w:val="24"/>
          <w:lang w:val="en-US" w:eastAsia="zh-CN"/>
        </w:rPr>
        <w:t>学生学习用无线耳机</w:t>
      </w:r>
    </w:p>
    <w:p>
      <w:pPr>
        <w:spacing w:line="360" w:lineRule="auto"/>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1、耳机必须具备调频功能：</w:t>
      </w:r>
    </w:p>
    <w:p>
      <w:pPr>
        <w:spacing w:line="360" w:lineRule="auto"/>
        <w:ind w:left="130" w:leftChars="62"/>
        <w:jc w:val="left"/>
        <w:rPr>
          <w:rFonts w:hint="eastAsia" w:ascii="宋体" w:hAnsi="宋体"/>
          <w:sz w:val="24"/>
          <w:szCs w:val="24"/>
          <w:lang w:val="en-US" w:eastAsia="zh-CN"/>
        </w:rPr>
      </w:pPr>
      <w:r>
        <w:rPr>
          <w:rFonts w:hint="eastAsia" w:ascii="宋体" w:hAnsi="宋体"/>
          <w:sz w:val="24"/>
          <w:szCs w:val="24"/>
          <w:lang w:val="en-US" w:eastAsia="zh-CN"/>
        </w:rPr>
        <w:t>接收范围：调频：70-108MHZ，灵敏度：调频≤10μV，频率响应：50-15000HZ；</w:t>
      </w:r>
    </w:p>
    <w:p>
      <w:pPr>
        <w:spacing w:line="360" w:lineRule="auto"/>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2、信噪度≥50dB，输出功率≥50mW，整机失真度≤2%；</w:t>
      </w:r>
    </w:p>
    <w:p>
      <w:pPr>
        <w:spacing w:line="360" w:lineRule="auto"/>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3、额定功率：≥5mW；</w:t>
      </w:r>
    </w:p>
    <w:p>
      <w:pPr>
        <w:spacing w:line="360" w:lineRule="auto"/>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4、电源：直流3V，装二节五号AA电池（电池学生自备）；</w:t>
      </w:r>
    </w:p>
    <w:p>
      <w:pPr>
        <w:spacing w:line="360" w:lineRule="auto"/>
        <w:ind w:firstLine="480" w:firstLineChars="200"/>
        <w:jc w:val="left"/>
        <w:rPr>
          <w:rFonts w:hint="eastAsia" w:ascii="宋体" w:hAnsi="宋体"/>
          <w:color w:val="000000"/>
          <w:sz w:val="24"/>
          <w:szCs w:val="24"/>
          <w:lang w:val="en-US" w:eastAsia="zh-CN"/>
        </w:rPr>
      </w:pPr>
      <w:r>
        <w:rPr>
          <w:rFonts w:hint="eastAsia" w:ascii="宋体" w:hAnsi="宋体"/>
          <w:color w:val="000000"/>
          <w:sz w:val="24"/>
          <w:szCs w:val="24"/>
          <w:lang w:val="en-US" w:eastAsia="zh-CN"/>
        </w:rPr>
        <w:t>5、头戴折叠式，需有耳罩，</w:t>
      </w:r>
      <w:r>
        <w:rPr>
          <w:rFonts w:hint="eastAsia"/>
          <w:color w:val="000000"/>
          <w:sz w:val="24"/>
          <w:szCs w:val="24"/>
          <w:lang w:val="en-US" w:eastAsia="zh-CN"/>
        </w:rPr>
        <w:t>音质纯正、立体声效果好，</w:t>
      </w:r>
      <w:r>
        <w:rPr>
          <w:rFonts w:hint="eastAsia" w:ascii="宋体" w:hAnsi="宋体"/>
          <w:color w:val="000000"/>
          <w:sz w:val="24"/>
          <w:szCs w:val="24"/>
          <w:lang w:val="en-US" w:eastAsia="zh-CN"/>
        </w:rPr>
        <w:t>抗干扰能力强、结实、美观；</w:t>
      </w:r>
    </w:p>
    <w:p>
      <w:pPr>
        <w:spacing w:line="360" w:lineRule="auto"/>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6、显示屏为电子显示屏，可以准确显示接收频率；</w:t>
      </w:r>
    </w:p>
    <w:p>
      <w:pPr>
        <w:spacing w:line="360" w:lineRule="auto"/>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7、采用SMD元件设计，自动SMT贴片机生产工艺，设计合理，制作精良；</w:t>
      </w:r>
    </w:p>
    <w:p>
      <w:pPr>
        <w:spacing w:line="360" w:lineRule="auto"/>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8、每年提供不少于200只备用耳机作为更换维修服务；</w:t>
      </w:r>
    </w:p>
    <w:p>
      <w:pPr>
        <w:pStyle w:val="3"/>
        <w:spacing w:line="360" w:lineRule="auto"/>
        <w:ind w:firstLine="480" w:firstLineChars="200"/>
        <w:rPr>
          <w:rFonts w:cs="宋体"/>
          <w:b/>
          <w:sz w:val="24"/>
          <w:szCs w:val="24"/>
        </w:rPr>
      </w:pPr>
      <w:r>
        <w:rPr>
          <w:rFonts w:hint="eastAsia" w:ascii="宋体" w:hAnsi="宋体"/>
          <w:sz w:val="24"/>
          <w:szCs w:val="24"/>
          <w:lang w:val="en-US" w:eastAsia="zh-CN"/>
        </w:rPr>
        <w:t>9、两年保修。</w:t>
      </w:r>
    </w:p>
    <w:p>
      <w:pPr>
        <w:spacing w:line="360" w:lineRule="auto"/>
        <w:ind w:firstLine="480" w:firstLineChars="200"/>
        <w:rPr>
          <w:rFonts w:hint="eastAsia"/>
          <w:highlight w:val="none"/>
        </w:rPr>
      </w:pPr>
      <w:r>
        <w:rPr>
          <w:rFonts w:hint="eastAsia" w:ascii="宋体" w:hAnsi="宋体" w:eastAsia="宋体" w:cs="宋体"/>
          <w:sz w:val="24"/>
          <w:szCs w:val="24"/>
          <w:highlight w:val="none"/>
        </w:rPr>
        <w:t>注:投标时提供不少于</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只同型号的耳机供评测使用（样品不退还）。耳机样品及磋商响应文件</w:t>
      </w:r>
      <w:r>
        <w:rPr>
          <w:rFonts w:hint="eastAsia" w:ascii="宋体" w:hAnsi="宋体" w:eastAsia="宋体" w:cs="宋体"/>
          <w:sz w:val="24"/>
          <w:szCs w:val="24"/>
          <w:highlight w:val="none"/>
          <w:lang w:eastAsia="zh-CN"/>
        </w:rPr>
        <w:t>于开标前寄至学校</w:t>
      </w:r>
      <w:r>
        <w:rPr>
          <w:rFonts w:hint="eastAsia" w:ascii="宋体" w:hAnsi="宋体" w:eastAsia="宋体" w:cs="宋体"/>
          <w:sz w:val="24"/>
          <w:szCs w:val="24"/>
          <w:highlight w:val="none"/>
        </w:rPr>
        <w:t>。</w:t>
      </w:r>
    </w:p>
    <w:p>
      <w:pPr>
        <w:pStyle w:val="12"/>
        <w:spacing w:line="360" w:lineRule="auto"/>
        <w:rPr>
          <w:rFonts w:hAnsi="宋体" w:cs="宋体"/>
          <w:b/>
        </w:rPr>
      </w:pPr>
      <w:r>
        <w:rPr>
          <w:rFonts w:hint="eastAsia" w:hAnsi="宋体" w:cs="宋体"/>
          <w:b/>
        </w:rPr>
        <w:t>三、商务要求</w:t>
      </w:r>
    </w:p>
    <w:p>
      <w:pPr>
        <w:snapToGrid w:val="0"/>
        <w:spacing w:line="360" w:lineRule="auto"/>
        <w:rPr>
          <w:rFonts w:ascii="宋体" w:hAnsi="宋体" w:cs="宋体"/>
          <w:b/>
          <w:bCs/>
          <w:color w:val="auto"/>
          <w:sz w:val="24"/>
        </w:rPr>
      </w:pPr>
      <w:r>
        <w:rPr>
          <w:rFonts w:hint="eastAsia" w:ascii="宋体" w:hAnsi="宋体" w:cs="宋体"/>
          <w:b/>
          <w:bCs/>
          <w:sz w:val="24"/>
        </w:rPr>
        <w:t>1、</w:t>
      </w:r>
      <w:r>
        <w:rPr>
          <w:rFonts w:hint="eastAsia" w:ascii="宋体" w:hAnsi="宋体" w:cs="宋体"/>
          <w:b/>
          <w:bCs/>
          <w:color w:val="auto"/>
          <w:sz w:val="24"/>
        </w:rPr>
        <w:t>项目投标报价要求</w:t>
      </w:r>
    </w:p>
    <w:p>
      <w:pPr>
        <w:snapToGrid w:val="0"/>
        <w:spacing w:line="360" w:lineRule="auto"/>
        <w:rPr>
          <w:rFonts w:ascii="宋体" w:hAnsi="宋体" w:cs="宋体"/>
          <w:color w:val="auto"/>
          <w:sz w:val="24"/>
        </w:rPr>
      </w:pPr>
      <w:r>
        <w:rPr>
          <w:rFonts w:hint="eastAsia" w:ascii="宋体" w:hAnsi="宋体" w:cs="宋体"/>
          <w:color w:val="auto"/>
          <w:sz w:val="24"/>
        </w:rPr>
        <w:t>（1）投标报价应包含完成本项目合同内容所涉及的全部费用，包含但不仅限于验收配合、第三方检测（如需）、售后服务以及完成采购需求所涉及的其他一切内容所需的全部费用，以及税金、人工费、管理费、合理利润、风险费、投标费用等一切成本及费用。谈判响应方的谈判报价为整个采购项目的总报价，如有漏项，视同已包含在项目中，合同总价不做调整。</w:t>
      </w:r>
    </w:p>
    <w:p>
      <w:pPr>
        <w:snapToGrid w:val="0"/>
        <w:spacing w:line="360" w:lineRule="auto"/>
        <w:ind w:left="210" w:leftChars="100" w:firstLine="240" w:firstLineChars="100"/>
        <w:rPr>
          <w:rFonts w:ascii="宋体" w:hAnsi="宋体" w:cs="宋体"/>
          <w:color w:val="auto"/>
          <w:sz w:val="24"/>
        </w:rPr>
      </w:pPr>
      <w:r>
        <w:rPr>
          <w:rFonts w:hint="eastAsia" w:ascii="宋体" w:hAnsi="宋体" w:cs="宋体"/>
          <w:color w:val="auto"/>
          <w:sz w:val="24"/>
        </w:rPr>
        <w:t>（2）按国家规定由中标人缴纳的各种税收已包含在投标总价内，由中标人向税务</w:t>
      </w:r>
    </w:p>
    <w:p>
      <w:pPr>
        <w:snapToGrid w:val="0"/>
        <w:spacing w:line="360" w:lineRule="auto"/>
        <w:rPr>
          <w:rFonts w:ascii="宋体" w:hAnsi="宋体" w:cs="宋体"/>
          <w:color w:val="auto"/>
          <w:sz w:val="24"/>
        </w:rPr>
      </w:pPr>
      <w:r>
        <w:rPr>
          <w:rFonts w:hint="eastAsia" w:ascii="宋体" w:hAnsi="宋体" w:cs="宋体"/>
          <w:color w:val="auto"/>
          <w:sz w:val="24"/>
        </w:rPr>
        <w:t>机关缴纳。</w:t>
      </w:r>
    </w:p>
    <w:p>
      <w:pPr>
        <w:snapToGrid w:val="0"/>
        <w:spacing w:line="360" w:lineRule="auto"/>
        <w:rPr>
          <w:rFonts w:ascii="宋体" w:hAnsi="宋体" w:cs="宋体"/>
          <w:b/>
          <w:bCs/>
          <w:color w:val="auto"/>
          <w:kern w:val="0"/>
          <w:sz w:val="24"/>
        </w:rPr>
      </w:pPr>
      <w:r>
        <w:rPr>
          <w:rFonts w:hint="eastAsia" w:ascii="宋体" w:hAnsi="宋体" w:cs="宋体"/>
          <w:b/>
          <w:bCs/>
          <w:color w:val="auto"/>
          <w:kern w:val="0"/>
          <w:sz w:val="24"/>
        </w:rPr>
        <w:t>2、售后服务要求</w:t>
      </w:r>
    </w:p>
    <w:p>
      <w:pPr>
        <w:snapToGrid w:val="0"/>
        <w:spacing w:line="360" w:lineRule="auto"/>
        <w:ind w:firstLine="480" w:firstLineChars="200"/>
        <w:rPr>
          <w:rFonts w:ascii="宋体" w:hAnsi="宋体" w:cs="宋体"/>
          <w:color w:val="auto"/>
          <w:kern w:val="0"/>
          <w:sz w:val="24"/>
        </w:rPr>
      </w:pPr>
      <w:r>
        <w:rPr>
          <w:rFonts w:hint="eastAsia" w:ascii="宋体" w:hAnsi="宋体" w:cs="宋体"/>
          <w:color w:val="auto"/>
          <w:sz w:val="24"/>
        </w:rPr>
        <w:t>（1）</w:t>
      </w:r>
      <w:r>
        <w:rPr>
          <w:rFonts w:hint="eastAsia" w:ascii="宋体" w:hAnsi="宋体" w:cs="宋体"/>
          <w:color w:val="auto"/>
          <w:kern w:val="0"/>
          <w:sz w:val="24"/>
        </w:rPr>
        <w:t>服务响应及维护：电话半小时内必须响应，现场排除故障响应时间小于8小时，24小时内恢复系统正常运行。重大技术问题，技术专家2小时内抵达现场，4小时内给予解决；若短期无法解决的，应及时提供应急措施，并提出书面解决方案报采购人批准。</w:t>
      </w:r>
    </w:p>
    <w:p>
      <w:pPr>
        <w:snapToGrid w:val="0"/>
        <w:spacing w:line="360" w:lineRule="auto"/>
        <w:ind w:firstLine="480" w:firstLineChars="200"/>
        <w:rPr>
          <w:rFonts w:ascii="宋体" w:hAnsi="宋体" w:cs="宋体"/>
          <w:b/>
          <w:bCs/>
          <w:color w:val="auto"/>
          <w:sz w:val="24"/>
        </w:rPr>
      </w:pPr>
      <w:r>
        <w:rPr>
          <w:rFonts w:hint="eastAsia" w:ascii="宋体" w:hAnsi="宋体" w:cs="宋体"/>
          <w:color w:val="auto"/>
          <w:sz w:val="24"/>
        </w:rPr>
        <w:t>（2）</w:t>
      </w:r>
      <w:r>
        <w:rPr>
          <w:rFonts w:hint="eastAsia" w:ascii="宋体" w:hAnsi="宋体" w:cs="宋体"/>
          <w:color w:val="auto"/>
          <w:kern w:val="0"/>
          <w:sz w:val="24"/>
        </w:rPr>
        <w:t>投标人必须保证解决项目所涉及的技术问题，如因技术原因无法满足采购人需求，由此产生的风险由投标人承担。</w:t>
      </w:r>
    </w:p>
    <w:p>
      <w:pPr>
        <w:snapToGrid w:val="0"/>
        <w:spacing w:line="360" w:lineRule="auto"/>
        <w:rPr>
          <w:rFonts w:ascii="宋体" w:hAnsi="宋体" w:cs="宋体"/>
          <w:b/>
          <w:bCs/>
          <w:color w:val="auto"/>
          <w:sz w:val="24"/>
        </w:rPr>
      </w:pPr>
      <w:r>
        <w:rPr>
          <w:rFonts w:hint="eastAsia" w:ascii="宋体" w:hAnsi="宋体" w:cs="宋体"/>
          <w:b/>
          <w:bCs/>
          <w:color w:val="auto"/>
          <w:sz w:val="24"/>
        </w:rPr>
        <w:t>3、质保期、工期</w:t>
      </w:r>
    </w:p>
    <w:p>
      <w:pPr>
        <w:snapToGrid w:val="0"/>
        <w:spacing w:line="360" w:lineRule="auto"/>
        <w:ind w:left="210" w:leftChars="100" w:firstLine="241" w:firstLineChars="100"/>
        <w:rPr>
          <w:rFonts w:ascii="宋体" w:hAnsi="宋体" w:cs="宋体"/>
          <w:b/>
          <w:bCs/>
          <w:color w:val="auto"/>
          <w:sz w:val="24"/>
        </w:rPr>
      </w:pPr>
      <w:r>
        <w:rPr>
          <w:rFonts w:hint="eastAsia" w:ascii="宋体" w:hAnsi="宋体" w:cs="宋体"/>
          <w:b/>
          <w:bCs/>
          <w:color w:val="auto"/>
          <w:sz w:val="24"/>
        </w:rPr>
        <w:t>（1）质保期：1年；免费保修期：</w:t>
      </w:r>
      <w:r>
        <w:rPr>
          <w:rFonts w:hint="eastAsia" w:ascii="宋体" w:hAnsi="宋体" w:cs="宋体"/>
          <w:b/>
          <w:bCs/>
          <w:color w:val="auto"/>
          <w:sz w:val="24"/>
          <w:lang w:val="en-US" w:eastAsia="zh-CN"/>
        </w:rPr>
        <w:t>2</w:t>
      </w:r>
      <w:r>
        <w:rPr>
          <w:rFonts w:hint="eastAsia" w:ascii="宋体" w:hAnsi="宋体" w:cs="宋体"/>
          <w:b/>
          <w:bCs/>
          <w:color w:val="auto"/>
          <w:sz w:val="24"/>
        </w:rPr>
        <w:t>年。</w:t>
      </w:r>
    </w:p>
    <w:p>
      <w:pPr>
        <w:snapToGrid w:val="0"/>
        <w:spacing w:line="360" w:lineRule="auto"/>
        <w:ind w:left="210" w:leftChars="100" w:firstLine="241" w:firstLineChars="100"/>
        <w:rPr>
          <w:rFonts w:ascii="宋体" w:hAnsi="宋体" w:cs="宋体"/>
          <w:color w:val="auto"/>
          <w:sz w:val="24"/>
        </w:rPr>
      </w:pPr>
      <w:r>
        <w:rPr>
          <w:rFonts w:hint="eastAsia" w:ascii="宋体" w:hAnsi="宋体" w:cs="宋体"/>
          <w:b/>
          <w:bCs/>
          <w:color w:val="auto"/>
          <w:sz w:val="24"/>
        </w:rPr>
        <w:t>（2）工期：</w:t>
      </w:r>
      <w:r>
        <w:rPr>
          <w:rFonts w:hint="eastAsia" w:ascii="宋体" w:hAnsi="宋体" w:cs="宋体"/>
          <w:b/>
          <w:bCs/>
          <w:color w:val="auto"/>
          <w:sz w:val="24"/>
          <w:lang w:val="en-US" w:eastAsia="zh-CN"/>
        </w:rPr>
        <w:t>2021年</w:t>
      </w:r>
      <w:r>
        <w:rPr>
          <w:rFonts w:hint="eastAsia" w:ascii="宋体" w:hAnsi="宋体" w:cs="宋体"/>
          <w:b/>
          <w:bCs/>
          <w:color w:val="auto"/>
          <w:sz w:val="24"/>
        </w:rPr>
        <w:t>1</w:t>
      </w:r>
      <w:r>
        <w:rPr>
          <w:rFonts w:hint="eastAsia" w:ascii="宋体" w:hAnsi="宋体" w:cs="宋体"/>
          <w:b/>
          <w:bCs/>
          <w:color w:val="auto"/>
          <w:sz w:val="24"/>
          <w:lang w:val="en-US" w:eastAsia="zh-CN"/>
        </w:rPr>
        <w:t>2</w:t>
      </w:r>
      <w:r>
        <w:rPr>
          <w:rFonts w:hint="eastAsia" w:ascii="宋体" w:hAnsi="宋体" w:cs="宋体"/>
          <w:b/>
          <w:bCs/>
          <w:color w:val="auto"/>
          <w:sz w:val="24"/>
        </w:rPr>
        <w:t>月</w:t>
      </w:r>
      <w:r>
        <w:rPr>
          <w:rFonts w:ascii="宋体" w:hAnsi="宋体" w:cs="宋体"/>
          <w:b/>
          <w:bCs/>
          <w:color w:val="auto"/>
          <w:sz w:val="24"/>
        </w:rPr>
        <w:t>1</w:t>
      </w:r>
      <w:r>
        <w:rPr>
          <w:rFonts w:hint="eastAsia" w:ascii="宋体" w:hAnsi="宋体" w:cs="宋体"/>
          <w:b/>
          <w:bCs/>
          <w:color w:val="auto"/>
          <w:sz w:val="24"/>
          <w:lang w:val="en-US" w:eastAsia="zh-CN"/>
        </w:rPr>
        <w:t>5</w:t>
      </w:r>
      <w:r>
        <w:rPr>
          <w:rFonts w:hint="eastAsia" w:ascii="宋体" w:hAnsi="宋体" w:cs="宋体"/>
          <w:b/>
          <w:bCs/>
          <w:color w:val="auto"/>
          <w:sz w:val="24"/>
        </w:rPr>
        <w:t>日</w:t>
      </w:r>
      <w:r>
        <w:rPr>
          <w:rFonts w:hint="eastAsia" w:ascii="宋体" w:hAnsi="宋体"/>
          <w:b/>
          <w:bCs/>
          <w:color w:val="auto"/>
          <w:sz w:val="24"/>
        </w:rPr>
        <w:t>前</w:t>
      </w:r>
      <w:r>
        <w:rPr>
          <w:rFonts w:hint="eastAsia" w:ascii="宋体" w:hAnsi="宋体"/>
          <w:b/>
          <w:bCs/>
          <w:color w:val="auto"/>
          <w:sz w:val="24"/>
          <w:lang w:eastAsia="zh-CN"/>
        </w:rPr>
        <w:t>完成</w:t>
      </w:r>
      <w:r>
        <w:rPr>
          <w:rFonts w:hint="eastAsia" w:ascii="宋体" w:hAnsi="宋体" w:cs="宋体"/>
          <w:b/>
          <w:bCs/>
          <w:color w:val="auto"/>
          <w:sz w:val="24"/>
        </w:rPr>
        <w:t>。</w:t>
      </w:r>
      <w:bookmarkStart w:id="2" w:name="_Toc225061454"/>
    </w:p>
    <w:p>
      <w:pPr>
        <w:pStyle w:val="53"/>
        <w:spacing w:before="78" w:after="78"/>
        <w:jc w:val="left"/>
        <w:rPr>
          <w:rFonts w:ascii="宋体" w:hAnsi="宋体" w:cs="宋体"/>
          <w:b/>
          <w:bCs/>
          <w:color w:val="auto"/>
          <w:szCs w:val="24"/>
        </w:rPr>
      </w:pPr>
      <w:r>
        <w:rPr>
          <w:rFonts w:hint="eastAsia" w:ascii="宋体" w:hAnsi="宋体" w:cs="宋体"/>
          <w:b/>
          <w:bCs/>
          <w:color w:val="auto"/>
          <w:szCs w:val="24"/>
        </w:rPr>
        <w:t>4、付款方式</w:t>
      </w:r>
    </w:p>
    <w:p>
      <w:pPr>
        <w:spacing w:line="360" w:lineRule="auto"/>
        <w:ind w:firstLine="480" w:firstLineChars="200"/>
        <w:rPr>
          <w:rFonts w:ascii="宋体" w:hAnsi="宋体"/>
          <w:sz w:val="24"/>
        </w:rPr>
      </w:pPr>
      <w:r>
        <w:rPr>
          <w:rFonts w:hint="eastAsia" w:ascii="宋体" w:hAnsi="宋体"/>
          <w:sz w:val="24"/>
        </w:rPr>
        <w:t>货款由采购人自行支付。全部货物安装完毕并验收合格后付至合同总额的95%；留5%作为质量保证金，在质保期履行满1年后10日内付清。</w:t>
      </w:r>
    </w:p>
    <w:p>
      <w:pPr>
        <w:snapToGrid w:val="0"/>
        <w:spacing w:line="360" w:lineRule="auto"/>
        <w:ind w:left="210" w:leftChars="100" w:firstLine="480" w:firstLineChars="200"/>
        <w:rPr>
          <w:rFonts w:ascii="宋体" w:hAnsi="宋体" w:cs="宋体"/>
          <w:sz w:val="24"/>
        </w:rPr>
      </w:pPr>
    </w:p>
    <w:bookmarkEnd w:id="2"/>
    <w:p>
      <w:pPr>
        <w:pStyle w:val="44"/>
        <w:pageBreakBefore/>
        <w:snapToGrid w:val="0"/>
        <w:spacing w:line="360" w:lineRule="auto"/>
        <w:jc w:val="center"/>
        <w:outlineLvl w:val="0"/>
        <w:rPr>
          <w:rFonts w:asciiTheme="minorEastAsia" w:hAnsiTheme="minorEastAsia" w:eastAsiaTheme="minorEastAsia"/>
          <w:b/>
          <w:color w:val="000000" w:themeColor="text1"/>
          <w:sz w:val="32"/>
          <w:szCs w:val="32"/>
          <w14:textFill>
            <w14:solidFill>
              <w14:schemeClr w14:val="tx1"/>
            </w14:solidFill>
          </w14:textFill>
        </w:rPr>
      </w:pPr>
      <w:bookmarkStart w:id="3" w:name="_Toc9075"/>
      <w:r>
        <w:rPr>
          <w:rFonts w:asciiTheme="minorEastAsia" w:hAnsiTheme="minorEastAsia" w:eastAsiaTheme="minorEastAsia"/>
          <w:b/>
          <w:color w:val="000000" w:themeColor="text1"/>
          <w:sz w:val="32"/>
          <w:szCs w:val="32"/>
          <w14:textFill>
            <w14:solidFill>
              <w14:schemeClr w14:val="tx1"/>
            </w14:solidFill>
          </w14:textFill>
        </w:rPr>
        <w:t xml:space="preserve">第三章  </w:t>
      </w:r>
      <w:bookmarkStart w:id="4" w:name="_Toc10818"/>
      <w:r>
        <w:rPr>
          <w:rFonts w:hint="eastAsia" w:asciiTheme="minorEastAsia" w:hAnsiTheme="minorEastAsia" w:eastAsiaTheme="minorEastAsia"/>
          <w:b/>
          <w:sz w:val="32"/>
          <w:szCs w:val="32"/>
        </w:rPr>
        <w:t>竞争性谈判须知</w:t>
      </w:r>
      <w:bookmarkEnd w:id="3"/>
      <w:bookmarkEnd w:id="4"/>
    </w:p>
    <w:p>
      <w:pPr>
        <w:spacing w:line="360" w:lineRule="auto"/>
        <w:jc w:val="center"/>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前附表</w:t>
      </w:r>
    </w:p>
    <w:tbl>
      <w:tblPr>
        <w:tblStyle w:val="21"/>
        <w:tblW w:w="9542" w:type="dxa"/>
        <w:jc w:val="center"/>
        <w:tblLayout w:type="fixed"/>
        <w:tblCellMar>
          <w:top w:w="0" w:type="dxa"/>
          <w:left w:w="108" w:type="dxa"/>
          <w:bottom w:w="0" w:type="dxa"/>
          <w:right w:w="108" w:type="dxa"/>
        </w:tblCellMar>
      </w:tblPr>
      <w:tblGrid>
        <w:gridCol w:w="778"/>
        <w:gridCol w:w="8764"/>
      </w:tblGrid>
      <w:tr>
        <w:tblPrEx>
          <w:tblCellMar>
            <w:top w:w="0" w:type="dxa"/>
            <w:left w:w="108" w:type="dxa"/>
            <w:bottom w:w="0" w:type="dxa"/>
            <w:right w:w="108" w:type="dxa"/>
          </w:tblCellMar>
        </w:tblPrEx>
        <w:trPr>
          <w:trHeight w:val="90"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序号</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内容、要求</w:t>
            </w:r>
          </w:p>
        </w:tc>
      </w:tr>
      <w:tr>
        <w:tblPrEx>
          <w:tblCellMar>
            <w:top w:w="0" w:type="dxa"/>
            <w:left w:w="108" w:type="dxa"/>
            <w:bottom w:w="0" w:type="dxa"/>
            <w:right w:w="108" w:type="dxa"/>
          </w:tblCellMar>
        </w:tblPrEx>
        <w:trPr>
          <w:trHeight w:val="102"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eastAsia="宋体" w:cs="宋体"/>
                <w:color w:val="000000" w:themeColor="text1"/>
                <w:sz w:val="24"/>
                <w:lang w:eastAsia="zh-CN"/>
                <w14:textFill>
                  <w14:solidFill>
                    <w14:schemeClr w14:val="tx1"/>
                  </w14:solidFill>
                </w14:textFill>
              </w:rPr>
            </w:pPr>
            <w:r>
              <w:rPr>
                <w:rFonts w:ascii="宋体" w:hAnsi="宋体" w:cs="宋体"/>
                <w:color w:val="000000" w:themeColor="text1"/>
                <w:sz w:val="24"/>
                <w14:textFill>
                  <w14:solidFill>
                    <w14:schemeClr w14:val="tx1"/>
                  </w14:solidFill>
                </w14:textFill>
              </w:rPr>
              <w:t>项目名称：</w:t>
            </w:r>
            <w:r>
              <w:rPr>
                <w:rFonts w:hint="eastAsia" w:ascii="宋体" w:hAnsi="宋体" w:cs="宋体"/>
                <w:color w:val="000000" w:themeColor="text1"/>
                <w:sz w:val="24"/>
                <w14:textFill>
                  <w14:solidFill>
                    <w14:schemeClr w14:val="tx1"/>
                  </w14:solidFill>
                </w14:textFill>
              </w:rPr>
              <w:t>浙江广厦建设职业技术大学</w:t>
            </w:r>
            <w:r>
              <w:rPr>
                <w:rFonts w:hint="eastAsia" w:ascii="宋体" w:hAnsi="宋体" w:cs="宋体"/>
                <w:color w:val="000000" w:themeColor="text1"/>
                <w:sz w:val="24"/>
                <w:lang w:eastAsia="zh-CN"/>
                <w14:textFill>
                  <w14:solidFill>
                    <w14:schemeClr w14:val="tx1"/>
                  </w14:solidFill>
                </w14:textFill>
              </w:rPr>
              <w:t>无线耳机采购项目</w:t>
            </w:r>
          </w:p>
        </w:tc>
      </w:tr>
      <w:tr>
        <w:tblPrEx>
          <w:tblCellMar>
            <w:top w:w="0" w:type="dxa"/>
            <w:left w:w="108" w:type="dxa"/>
            <w:bottom w:w="0" w:type="dxa"/>
            <w:right w:w="108" w:type="dxa"/>
          </w:tblCellMar>
        </w:tblPrEx>
        <w:trPr>
          <w:trHeight w:val="203"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sz w:val="24"/>
              </w:rPr>
              <w:t>谈判报价及费用：1、本项目谈判应以人民币报价；2、不论谈判结果如何，谈判响应方均应自行承担所有与谈判有关的全部费用；</w:t>
            </w:r>
          </w:p>
        </w:tc>
      </w:tr>
      <w:tr>
        <w:tblPrEx>
          <w:tblCellMar>
            <w:top w:w="0" w:type="dxa"/>
            <w:left w:w="108" w:type="dxa"/>
            <w:bottom w:w="0" w:type="dxa"/>
            <w:right w:w="108" w:type="dxa"/>
          </w:tblCellMar>
        </w:tblPrEx>
        <w:trPr>
          <w:trHeight w:val="102"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答疑与澄清：投标截止时间1日前，招标人在公告栏上以书面形式公布招标文件的澄清或修改，并通知所有的投标人。</w:t>
            </w:r>
          </w:p>
        </w:tc>
      </w:tr>
      <w:tr>
        <w:tblPrEx>
          <w:tblCellMar>
            <w:top w:w="0" w:type="dxa"/>
            <w:left w:w="108" w:type="dxa"/>
            <w:bottom w:w="0" w:type="dxa"/>
            <w:right w:w="108" w:type="dxa"/>
          </w:tblCellMar>
        </w:tblPrEx>
        <w:trPr>
          <w:trHeight w:val="102"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4</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sz w:val="24"/>
              </w:rPr>
              <w:t>本项目谈判响应文件</w:t>
            </w:r>
            <w:r>
              <w:rPr>
                <w:rFonts w:ascii="宋体" w:hAnsi="宋体" w:cs="宋体"/>
                <w:sz w:val="24"/>
              </w:rPr>
              <w:t>正本</w:t>
            </w:r>
            <w:r>
              <w:rPr>
                <w:rFonts w:ascii="宋体" w:hAnsi="宋体" w:cs="宋体"/>
                <w:sz w:val="24"/>
                <w:u w:val="single"/>
              </w:rPr>
              <w:t xml:space="preserve"> </w:t>
            </w:r>
            <w:r>
              <w:rPr>
                <w:rFonts w:ascii="宋体" w:hAnsi="宋体" w:cs="Arial"/>
                <w:sz w:val="24"/>
                <w:u w:val="single"/>
              </w:rPr>
              <w:t>1</w:t>
            </w:r>
            <w:r>
              <w:rPr>
                <w:rFonts w:ascii="宋体" w:hAnsi="宋体" w:cs="宋体"/>
                <w:sz w:val="24"/>
                <w:u w:val="single"/>
              </w:rPr>
              <w:t xml:space="preserve"> </w:t>
            </w:r>
            <w:r>
              <w:rPr>
                <w:rFonts w:ascii="宋体" w:hAnsi="宋体" w:cs="宋体"/>
                <w:sz w:val="24"/>
              </w:rPr>
              <w:t>份；副本</w:t>
            </w:r>
            <w:r>
              <w:rPr>
                <w:rFonts w:ascii="宋体" w:hAnsi="宋体" w:cs="宋体"/>
                <w:sz w:val="24"/>
                <w:u w:val="single"/>
              </w:rPr>
              <w:t xml:space="preserve"> </w:t>
            </w:r>
            <w:r>
              <w:rPr>
                <w:rFonts w:hint="eastAsia" w:ascii="宋体" w:hAnsi="宋体" w:cs="Arial"/>
                <w:sz w:val="24"/>
                <w:u w:val="single"/>
                <w:lang w:val="en-US" w:eastAsia="zh-CN"/>
              </w:rPr>
              <w:t>2</w:t>
            </w:r>
            <w:r>
              <w:rPr>
                <w:rFonts w:ascii="宋体" w:hAnsi="宋体" w:cs="宋体"/>
                <w:sz w:val="24"/>
              </w:rPr>
              <w:t>份</w:t>
            </w:r>
            <w:r>
              <w:rPr>
                <w:rFonts w:hint="eastAsia" w:ascii="宋体" w:hAnsi="宋体" w:cs="宋体"/>
                <w:sz w:val="24"/>
                <w:lang w:eastAsia="zh-CN"/>
              </w:rPr>
              <w:t>。</w:t>
            </w:r>
          </w:p>
        </w:tc>
      </w:tr>
      <w:tr>
        <w:tblPrEx>
          <w:tblCellMar>
            <w:top w:w="0" w:type="dxa"/>
            <w:left w:w="108" w:type="dxa"/>
            <w:bottom w:w="0" w:type="dxa"/>
            <w:right w:w="108" w:type="dxa"/>
          </w:tblCellMar>
        </w:tblPrEx>
        <w:trPr>
          <w:trHeight w:val="555"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5</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hint="eastAsia"/>
                <w:sz w:val="24"/>
                <w:szCs w:val="24"/>
              </w:rPr>
            </w:pPr>
            <w:r>
              <w:rPr>
                <w:sz w:val="24"/>
                <w:szCs w:val="24"/>
              </w:rPr>
              <w:t>投标截止时间：</w:t>
            </w:r>
            <w:r>
              <w:rPr>
                <w:rFonts w:hint="eastAsia"/>
                <w:color w:val="C00000"/>
                <w:sz w:val="24"/>
                <w:szCs w:val="24"/>
                <w:lang w:eastAsia="zh-CN"/>
              </w:rPr>
              <w:t>2021年11月26日15时00分</w:t>
            </w:r>
            <w:r>
              <w:rPr>
                <w:rFonts w:hint="eastAsia"/>
                <w:color w:val="C00000"/>
                <w:sz w:val="24"/>
                <w:szCs w:val="24"/>
              </w:rPr>
              <w:t>前</w:t>
            </w:r>
          </w:p>
          <w:p>
            <w:pPr>
              <w:spacing w:line="360" w:lineRule="auto"/>
              <w:ind w:firstLine="480"/>
              <w:textAlignment w:val="top"/>
              <w:rPr>
                <w:rFonts w:ascii="宋体" w:hAnsi="宋体" w:cs="宋体"/>
                <w:sz w:val="24"/>
              </w:rPr>
            </w:pPr>
            <w:r>
              <w:rPr>
                <w:rFonts w:ascii="宋体" w:hAnsi="宋体" w:cs="宋体"/>
                <w:sz w:val="24"/>
              </w:rPr>
              <w:t>本项目采用不见面开标的形式开标，各投标人自行下载钉钉，在开标截止时间前1小时内采购人将邀请各投标人进入本项目钉钉群签到，并开启群视频直播，对开标现场情况进行全程直播。</w:t>
            </w:r>
          </w:p>
          <w:p>
            <w:pPr>
              <w:pStyle w:val="8"/>
              <w:ind w:left="0" w:leftChars="0" w:firstLine="0" w:firstLineChars="0"/>
              <w:rPr>
                <w:sz w:val="24"/>
                <w:szCs w:val="24"/>
              </w:rPr>
            </w:pPr>
            <w:r>
              <w:rPr>
                <w:rFonts w:ascii="宋体" w:hAnsi="宋体" w:cs="宋体"/>
                <w:sz w:val="24"/>
              </w:rPr>
              <w:t>各投标人应先将投标文件按照招标文件规定的密封要求进行密封，后快递邮寄至</w:t>
            </w:r>
            <w:r>
              <w:rPr>
                <w:rFonts w:hint="eastAsia" w:ascii="宋体" w:hAnsi="宋体" w:cs="宋体"/>
                <w:sz w:val="24"/>
                <w:lang w:eastAsia="zh-CN"/>
              </w:rPr>
              <w:t>浙江广厦建设职业技术大学</w:t>
            </w:r>
            <w:r>
              <w:rPr>
                <w:rFonts w:ascii="宋体" w:hAnsi="宋体" w:cs="宋体"/>
                <w:sz w:val="24"/>
              </w:rPr>
              <w:t>（地址：东阳市</w:t>
            </w:r>
            <w:r>
              <w:rPr>
                <w:rFonts w:hint="eastAsia" w:ascii="宋体" w:hAnsi="宋体" w:cs="宋体"/>
                <w:sz w:val="24"/>
                <w:lang w:eastAsia="zh-CN"/>
              </w:rPr>
              <w:t>广福东街</w:t>
            </w:r>
            <w:r>
              <w:rPr>
                <w:rFonts w:hint="eastAsia" w:ascii="宋体" w:hAnsi="宋体" w:cs="宋体"/>
                <w:sz w:val="24"/>
                <w:lang w:val="en-US" w:eastAsia="zh-CN"/>
              </w:rPr>
              <w:t>1</w:t>
            </w:r>
            <w:r>
              <w:rPr>
                <w:rFonts w:ascii="宋体" w:hAnsi="宋体" w:cs="宋体"/>
                <w:sz w:val="24"/>
              </w:rPr>
              <w:t>号；邮编：322100；联系电话：0579-866</w:t>
            </w:r>
            <w:r>
              <w:rPr>
                <w:rFonts w:hint="eastAsia" w:ascii="宋体" w:hAnsi="宋体" w:cs="宋体"/>
                <w:sz w:val="24"/>
                <w:lang w:val="en-US" w:eastAsia="zh-CN"/>
              </w:rPr>
              <w:t>64725</w:t>
            </w:r>
            <w:r>
              <w:rPr>
                <w:rFonts w:ascii="宋体" w:hAnsi="宋体" w:cs="宋体"/>
                <w:sz w:val="24"/>
              </w:rPr>
              <w:t>；联系人：</w:t>
            </w:r>
            <w:r>
              <w:rPr>
                <w:rFonts w:hint="eastAsia" w:ascii="宋体" w:hAnsi="宋体" w:cs="宋体"/>
                <w:sz w:val="24"/>
                <w:lang w:eastAsia="zh-CN"/>
              </w:rPr>
              <w:t>林青青</w:t>
            </w:r>
            <w:r>
              <w:rPr>
                <w:rFonts w:hint="eastAsia" w:ascii="宋体" w:hAnsi="宋体" w:cs="宋体"/>
                <w:color w:val="C00000"/>
                <w:sz w:val="24"/>
                <w:lang w:val="en-US" w:eastAsia="zh-CN"/>
              </w:rPr>
              <w:t xml:space="preserve"> 18405897695</w:t>
            </w:r>
            <w:r>
              <w:rPr>
                <w:rFonts w:ascii="宋体" w:hAnsi="宋体" w:cs="宋体"/>
                <w:sz w:val="24"/>
              </w:rPr>
              <w:t>），快递邮件应于</w:t>
            </w:r>
            <w:r>
              <w:rPr>
                <w:rFonts w:ascii="宋体" w:hAnsi="宋体" w:cs="宋体"/>
                <w:color w:val="C00000"/>
                <w:sz w:val="24"/>
              </w:rPr>
              <w:t>2021年</w:t>
            </w:r>
            <w:r>
              <w:rPr>
                <w:rFonts w:hint="eastAsia" w:ascii="宋体" w:hAnsi="宋体" w:cs="宋体"/>
                <w:color w:val="C00000"/>
                <w:sz w:val="24"/>
                <w:lang w:val="en-US" w:eastAsia="zh-CN"/>
              </w:rPr>
              <w:t>11</w:t>
            </w:r>
            <w:r>
              <w:rPr>
                <w:rFonts w:ascii="宋体" w:hAnsi="宋体" w:cs="宋体"/>
                <w:color w:val="C00000"/>
                <w:sz w:val="24"/>
              </w:rPr>
              <w:t>月</w:t>
            </w:r>
            <w:r>
              <w:rPr>
                <w:rFonts w:hint="eastAsia" w:ascii="宋体" w:hAnsi="宋体" w:cs="宋体"/>
                <w:color w:val="C00000"/>
                <w:sz w:val="24"/>
                <w:lang w:val="en-US" w:eastAsia="zh-CN"/>
              </w:rPr>
              <w:t>25</w:t>
            </w:r>
            <w:r>
              <w:rPr>
                <w:rFonts w:ascii="宋体" w:hAnsi="宋体" w:cs="宋体"/>
                <w:color w:val="C00000"/>
                <w:sz w:val="24"/>
              </w:rPr>
              <w:t>日16时00分</w:t>
            </w:r>
            <w:r>
              <w:rPr>
                <w:rFonts w:ascii="宋体" w:hAnsi="宋体" w:cs="宋体"/>
                <w:sz w:val="24"/>
              </w:rPr>
              <w:t>前送达</w:t>
            </w:r>
            <w:r>
              <w:rPr>
                <w:rFonts w:hint="eastAsia" w:ascii="宋体" w:hAnsi="宋体" w:cs="宋体"/>
                <w:sz w:val="24"/>
                <w:lang w:eastAsia="zh-CN"/>
              </w:rPr>
              <w:t>浙江广厦建设职业技术大学</w:t>
            </w:r>
            <w:r>
              <w:rPr>
                <w:rFonts w:ascii="宋体" w:hAnsi="宋体" w:cs="宋体"/>
                <w:sz w:val="24"/>
              </w:rPr>
              <w:t>，规定时间内收到的投标文件视为在投标截止时间前送达，逾期未送达的视为投标人放弃投标。</w:t>
            </w:r>
            <w:r>
              <w:rPr>
                <w:rFonts w:hint="eastAsia" w:ascii="宋体" w:hAnsi="宋体" w:cs="宋体"/>
                <w:sz w:val="24"/>
                <w:lang w:eastAsia="zh-CN"/>
              </w:rPr>
              <w:t>浙江广厦建设职业技术大学</w:t>
            </w:r>
            <w:r>
              <w:rPr>
                <w:rFonts w:ascii="宋体" w:hAnsi="宋体" w:cs="宋体"/>
                <w:sz w:val="24"/>
              </w:rPr>
              <w:t>将快递收到的投标文件原封（包括快递包装）不动的送往浙江广厦建设职业技术大学综合楼603开标室。</w:t>
            </w:r>
          </w:p>
        </w:tc>
      </w:tr>
      <w:tr>
        <w:tblPrEx>
          <w:tblCellMar>
            <w:top w:w="0" w:type="dxa"/>
            <w:left w:w="108" w:type="dxa"/>
            <w:bottom w:w="0" w:type="dxa"/>
            <w:right w:w="108" w:type="dxa"/>
          </w:tblCellMar>
        </w:tblPrEx>
        <w:trPr>
          <w:trHeight w:val="153"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6</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hint="eastAsia" w:ascii="宋体" w:hAnsi="宋体" w:eastAsia="宋体" w:cs="宋体"/>
                <w:b/>
                <w:bCs/>
                <w:color w:val="000000" w:themeColor="text1"/>
                <w:sz w:val="24"/>
                <w:lang w:eastAsia="zh-CN"/>
                <w14:textFill>
                  <w14:solidFill>
                    <w14:schemeClr w14:val="tx1"/>
                  </w14:solidFill>
                </w14:textFill>
              </w:rPr>
            </w:pPr>
            <w:r>
              <w:rPr>
                <w:rFonts w:ascii="宋体" w:hAnsi="宋体" w:cs="宋体"/>
                <w:color w:val="000000" w:themeColor="text1"/>
                <w:sz w:val="24"/>
                <w14:textFill>
                  <w14:solidFill>
                    <w14:schemeClr w14:val="tx1"/>
                  </w14:solidFill>
                </w14:textFill>
              </w:rPr>
              <w:t>开标时间：</w:t>
            </w:r>
            <w:r>
              <w:rPr>
                <w:rFonts w:hint="eastAsia" w:ascii="宋体" w:hAnsi="宋体" w:cs="宋体"/>
                <w:color w:val="C00000"/>
                <w:sz w:val="24"/>
                <w:lang w:eastAsia="zh-CN"/>
              </w:rPr>
              <w:t>2021年11月26日15时00分</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开标地址：浙江广厦建设职业技术大学综合楼603开标室</w:t>
            </w:r>
          </w:p>
        </w:tc>
      </w:tr>
      <w:tr>
        <w:tblPrEx>
          <w:tblCellMar>
            <w:top w:w="0" w:type="dxa"/>
            <w:left w:w="108" w:type="dxa"/>
            <w:bottom w:w="0" w:type="dxa"/>
            <w:right w:w="108" w:type="dxa"/>
          </w:tblCellMar>
        </w:tblPrEx>
        <w:trPr>
          <w:trHeight w:val="90"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7</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000000" w:themeColor="text1"/>
                <w:sz w:val="24"/>
                <w14:textFill>
                  <w14:solidFill>
                    <w14:schemeClr w14:val="tx1"/>
                  </w14:solidFill>
                </w14:textFill>
              </w:rPr>
            </w:pPr>
            <w:r>
              <w:rPr>
                <w:rFonts w:hint="eastAsia" w:ascii="宋体" w:hAnsi="宋体"/>
                <w:sz w:val="24"/>
              </w:rPr>
              <w:t>评标办法：最低评标价法</w:t>
            </w:r>
          </w:p>
        </w:tc>
      </w:tr>
      <w:tr>
        <w:tblPrEx>
          <w:tblCellMar>
            <w:top w:w="0" w:type="dxa"/>
            <w:left w:w="108" w:type="dxa"/>
            <w:bottom w:w="0" w:type="dxa"/>
            <w:right w:w="108" w:type="dxa"/>
          </w:tblCellMar>
        </w:tblPrEx>
        <w:trPr>
          <w:trHeight w:val="102"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8</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中标结果公告：自中标人确定之日起2个工作日内，招标人在公告栏上以书面形式公布中标结果。</w:t>
            </w:r>
          </w:p>
        </w:tc>
      </w:tr>
      <w:tr>
        <w:tblPrEx>
          <w:tblCellMar>
            <w:top w:w="0" w:type="dxa"/>
            <w:left w:w="108" w:type="dxa"/>
            <w:bottom w:w="0" w:type="dxa"/>
            <w:right w:w="108" w:type="dxa"/>
          </w:tblCellMar>
        </w:tblPrEx>
        <w:trPr>
          <w:trHeight w:val="102"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9</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《中标通知书》的领取时间：中标单位应在中标结果公告结束日起，在3个工作日内领取，否则按放弃中标资格处理。</w:t>
            </w:r>
          </w:p>
        </w:tc>
      </w:tr>
      <w:tr>
        <w:tblPrEx>
          <w:tblCellMar>
            <w:top w:w="0" w:type="dxa"/>
            <w:left w:w="108" w:type="dxa"/>
            <w:bottom w:w="0" w:type="dxa"/>
            <w:right w:w="108" w:type="dxa"/>
          </w:tblCellMar>
        </w:tblPrEx>
        <w:trPr>
          <w:trHeight w:val="354"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10</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履约保证金：履约保证金为合同价款的</w:t>
            </w:r>
            <w:r>
              <w:rPr>
                <w:rFonts w:hint="eastAsia" w:ascii="宋体" w:hAnsi="宋体" w:cs="宋体"/>
                <w:color w:val="000000" w:themeColor="text1"/>
                <w:sz w:val="24"/>
                <w14:textFill>
                  <w14:solidFill>
                    <w14:schemeClr w14:val="tx1"/>
                  </w14:solidFill>
                </w14:textFill>
              </w:rPr>
              <w:t>5</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转入</w:t>
            </w:r>
            <w:r>
              <w:rPr>
                <w:rFonts w:ascii="宋体" w:hAnsi="宋体" w:cs="宋体"/>
                <w:color w:val="000000" w:themeColor="text1"/>
                <w:sz w:val="24"/>
                <w14:textFill>
                  <w14:solidFill>
                    <w14:schemeClr w14:val="tx1"/>
                  </w14:solidFill>
                </w14:textFill>
              </w:rPr>
              <w:t>浙江广厦建设职业技术大学</w:t>
            </w:r>
            <w:r>
              <w:rPr>
                <w:rFonts w:hint="eastAsia" w:ascii="宋体" w:hAnsi="宋体" w:cs="宋体"/>
                <w:color w:val="000000" w:themeColor="text1"/>
                <w:sz w:val="24"/>
                <w14:textFill>
                  <w14:solidFill>
                    <w14:schemeClr w14:val="tx1"/>
                  </w14:solidFill>
                </w14:textFill>
              </w:rPr>
              <w:t>指定银行账号</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开户行：工商银行东阳支行，账户：1</w:t>
            </w:r>
            <w:r>
              <w:rPr>
                <w:rFonts w:ascii="宋体" w:hAnsi="宋体" w:cs="宋体"/>
                <w:color w:val="000000" w:themeColor="text1"/>
                <w:sz w:val="24"/>
                <w14:textFill>
                  <w14:solidFill>
                    <w14:schemeClr w14:val="tx1"/>
                  </w14:solidFill>
                </w14:textFill>
              </w:rPr>
              <w:t>208040009049058362)</w:t>
            </w: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在项目完成且验收合格（由采购人出具验收合格报告，要求原件）之日起15个工作日内退还。</w:t>
            </w:r>
          </w:p>
        </w:tc>
      </w:tr>
      <w:tr>
        <w:tblPrEx>
          <w:tblCellMar>
            <w:top w:w="0" w:type="dxa"/>
            <w:left w:w="108" w:type="dxa"/>
            <w:bottom w:w="0" w:type="dxa"/>
            <w:right w:w="108" w:type="dxa"/>
          </w:tblCellMar>
        </w:tblPrEx>
        <w:trPr>
          <w:trHeight w:val="90"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11</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签订合同时间：发出《中标通知书》之日起30天内。</w:t>
            </w:r>
          </w:p>
        </w:tc>
      </w:tr>
      <w:tr>
        <w:tblPrEx>
          <w:tblCellMar>
            <w:top w:w="0" w:type="dxa"/>
            <w:left w:w="108" w:type="dxa"/>
            <w:bottom w:w="0" w:type="dxa"/>
            <w:right w:w="108" w:type="dxa"/>
          </w:tblCellMar>
        </w:tblPrEx>
        <w:trPr>
          <w:trHeight w:val="90"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12</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中</w:t>
            </w:r>
            <w:r>
              <w:rPr>
                <w:rFonts w:ascii="宋体" w:hAnsi="宋体" w:cs="宋体"/>
                <w:color w:val="000000" w:themeColor="text1"/>
                <w:sz w:val="24"/>
                <w14:textFill>
                  <w14:solidFill>
                    <w14:schemeClr w14:val="tx1"/>
                  </w14:solidFill>
                </w14:textFill>
              </w:rPr>
              <w:t>标人与浙江广厦建设职业技术大学签订合同。</w:t>
            </w:r>
          </w:p>
        </w:tc>
      </w:tr>
      <w:tr>
        <w:tblPrEx>
          <w:tblCellMar>
            <w:top w:w="0" w:type="dxa"/>
            <w:left w:w="108" w:type="dxa"/>
            <w:bottom w:w="0" w:type="dxa"/>
            <w:right w:w="108" w:type="dxa"/>
          </w:tblCellMar>
        </w:tblPrEx>
        <w:trPr>
          <w:trHeight w:val="253"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13</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交货地点：浙江广厦建设职业技术大学内，采购人指定的地点。</w:t>
            </w:r>
          </w:p>
          <w:p>
            <w:pPr>
              <w:spacing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验收：根据中华人民共和国现行技术标准，按招标文件以及合同规定的验收评定标准等规范，由采购人组织相关人员进行验收，验收合格后，采购人出具验收报告。采购人出具一式二份验收报告（不含其它单位存档份数），一份由中标人保管，一份由</w:t>
            </w:r>
            <w:r>
              <w:rPr>
                <w:rFonts w:hint="eastAsia" w:ascii="宋体" w:hAnsi="宋体" w:cs="宋体"/>
                <w:color w:val="000000" w:themeColor="text1"/>
                <w:sz w:val="24"/>
                <w14:textFill>
                  <w14:solidFill>
                    <w14:schemeClr w14:val="tx1"/>
                  </w14:solidFill>
                </w14:textFill>
              </w:rPr>
              <w:t>浙江广厦建设职业技术大学</w:t>
            </w:r>
            <w:r>
              <w:rPr>
                <w:rFonts w:ascii="宋体" w:hAnsi="宋体" w:cs="宋体"/>
                <w:color w:val="000000" w:themeColor="text1"/>
                <w:sz w:val="24"/>
                <w14:textFill>
                  <w14:solidFill>
                    <w14:schemeClr w14:val="tx1"/>
                  </w14:solidFill>
                </w14:textFill>
              </w:rPr>
              <w:t>（原件）存档。</w:t>
            </w:r>
          </w:p>
        </w:tc>
      </w:tr>
      <w:tr>
        <w:tblPrEx>
          <w:tblCellMar>
            <w:top w:w="0" w:type="dxa"/>
            <w:left w:w="108" w:type="dxa"/>
            <w:bottom w:w="0" w:type="dxa"/>
            <w:right w:w="108" w:type="dxa"/>
          </w:tblCellMar>
        </w:tblPrEx>
        <w:trPr>
          <w:trHeight w:val="90"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14</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投标文件有效期：</w:t>
            </w:r>
            <w:r>
              <w:rPr>
                <w:rFonts w:ascii="宋体" w:hAnsi="宋体" w:cs="Arial"/>
                <w:color w:val="000000" w:themeColor="text1"/>
                <w:sz w:val="24"/>
                <w:u w:val="single"/>
                <w14:textFill>
                  <w14:solidFill>
                    <w14:schemeClr w14:val="tx1"/>
                  </w14:solidFill>
                </w14:textFill>
              </w:rPr>
              <w:t>60</w:t>
            </w:r>
            <w:r>
              <w:rPr>
                <w:rFonts w:ascii="宋体" w:hAnsi="宋体" w:cs="Arial"/>
                <w:color w:val="000000" w:themeColor="text1"/>
                <w:sz w:val="24"/>
                <w14:textFill>
                  <w14:solidFill>
                    <w14:schemeClr w14:val="tx1"/>
                  </w14:solidFill>
                </w14:textFill>
              </w:rPr>
              <w:t>天</w:t>
            </w:r>
          </w:p>
        </w:tc>
      </w:tr>
      <w:tr>
        <w:tblPrEx>
          <w:tblCellMar>
            <w:top w:w="0" w:type="dxa"/>
            <w:left w:w="108" w:type="dxa"/>
            <w:bottom w:w="0" w:type="dxa"/>
            <w:right w:w="108" w:type="dxa"/>
          </w:tblCellMar>
        </w:tblPrEx>
        <w:trPr>
          <w:trHeight w:val="90"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15</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招标人对投标人的落选不作出任何解释。</w:t>
            </w:r>
          </w:p>
        </w:tc>
      </w:tr>
      <w:tr>
        <w:tblPrEx>
          <w:tblCellMar>
            <w:top w:w="0" w:type="dxa"/>
            <w:left w:w="108" w:type="dxa"/>
            <w:bottom w:w="0" w:type="dxa"/>
            <w:right w:w="108" w:type="dxa"/>
          </w:tblCellMar>
        </w:tblPrEx>
        <w:trPr>
          <w:trHeight w:val="138"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16</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招标人</w:t>
            </w:r>
            <w:r>
              <w:rPr>
                <w:rFonts w:hint="eastAsia" w:ascii="宋体" w:hAnsi="宋体" w:cs="宋体"/>
                <w:b/>
                <w:color w:val="000000" w:themeColor="text1"/>
                <w:sz w:val="24"/>
                <w14:textFill>
                  <w14:solidFill>
                    <w14:schemeClr w14:val="tx1"/>
                  </w14:solidFill>
                </w14:textFill>
              </w:rPr>
              <w:t>的</w:t>
            </w:r>
            <w:r>
              <w:rPr>
                <w:rFonts w:ascii="宋体" w:hAnsi="宋体" w:cs="宋体"/>
                <w:b/>
                <w:color w:val="000000" w:themeColor="text1"/>
                <w:sz w:val="24"/>
                <w14:textFill>
                  <w14:solidFill>
                    <w14:schemeClr w14:val="tx1"/>
                  </w14:solidFill>
                </w14:textFill>
              </w:rPr>
              <w:t>任何工作人员对投标人所作的任何口头解释、介绍、答复，仅供投标人参考，不作为招标依据，一切以网上公告及书面形式为准。</w:t>
            </w:r>
          </w:p>
        </w:tc>
      </w:tr>
      <w:tr>
        <w:tblPrEx>
          <w:tblCellMar>
            <w:top w:w="0" w:type="dxa"/>
            <w:left w:w="108" w:type="dxa"/>
            <w:bottom w:w="0" w:type="dxa"/>
            <w:right w:w="108" w:type="dxa"/>
          </w:tblCellMar>
        </w:tblPrEx>
        <w:trPr>
          <w:trHeight w:val="90"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17</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解释：本招标文件的解释权属于</w:t>
            </w:r>
            <w:r>
              <w:rPr>
                <w:rFonts w:hint="eastAsia" w:ascii="宋体" w:hAnsi="宋体" w:cs="宋体"/>
                <w:color w:val="000000" w:themeColor="text1"/>
                <w:sz w:val="24"/>
                <w14:textFill>
                  <w14:solidFill>
                    <w14:schemeClr w14:val="tx1"/>
                  </w14:solidFill>
                </w14:textFill>
              </w:rPr>
              <w:t>浙江广厦建设职业技术大学</w:t>
            </w:r>
            <w:r>
              <w:rPr>
                <w:rFonts w:ascii="宋体" w:hAnsi="宋体" w:cs="宋体"/>
                <w:color w:val="000000" w:themeColor="text1"/>
                <w:sz w:val="24"/>
                <w14:textFill>
                  <w14:solidFill>
                    <w14:schemeClr w14:val="tx1"/>
                  </w14:solidFill>
                </w14:textFill>
              </w:rPr>
              <w:t>。</w:t>
            </w:r>
          </w:p>
        </w:tc>
      </w:tr>
    </w:tbl>
    <w:p>
      <w:pPr>
        <w:spacing w:line="276" w:lineRule="auto"/>
        <w:rPr>
          <w:rFonts w:cs="宋体"/>
          <w:b/>
          <w:color w:val="000000" w:themeColor="text1"/>
          <w14:textFill>
            <w14:solidFill>
              <w14:schemeClr w14:val="tx1"/>
            </w14:solidFill>
          </w14:textFill>
        </w:rPr>
      </w:pPr>
      <w:r>
        <w:rPr>
          <w:rFonts w:cs="宋体"/>
          <w:b/>
          <w:color w:val="000000" w:themeColor="text1"/>
          <w14:textFill>
            <w14:solidFill>
              <w14:schemeClr w14:val="tx1"/>
            </w14:solidFill>
          </w14:textFill>
        </w:rPr>
        <w:t>注：如本招标文件后面的条款与本表有矛盾的以本表的内容为准。</w:t>
      </w:r>
      <w:r>
        <w:rPr>
          <w:color w:val="000000" w:themeColor="text1"/>
          <w14:textFill>
            <w14:solidFill>
              <w14:schemeClr w14:val="tx1"/>
            </w14:solidFill>
          </w14:textFill>
        </w:rPr>
        <w:br w:type="page"/>
      </w:r>
    </w:p>
    <w:p>
      <w:pPr>
        <w:autoSpaceDE w:val="0"/>
        <w:autoSpaceDN w:val="0"/>
        <w:spacing w:before="156" w:beforeLines="50" w:line="440" w:lineRule="exact"/>
        <w:jc w:val="center"/>
        <w:textAlignment w:val="bottom"/>
        <w:rPr>
          <w:rFonts w:ascii="宋体" w:hAnsi="宋体"/>
          <w:b/>
          <w:bCs/>
          <w:sz w:val="32"/>
          <w:szCs w:val="32"/>
        </w:rPr>
      </w:pPr>
      <w:bookmarkStart w:id="5" w:name="_Toc515112306"/>
      <w:bookmarkStart w:id="6" w:name="_Toc24744"/>
      <w:r>
        <w:rPr>
          <w:rFonts w:hint="eastAsia" w:ascii="宋体" w:hAnsi="宋体"/>
          <w:b/>
          <w:bCs/>
          <w:sz w:val="32"/>
          <w:szCs w:val="32"/>
        </w:rPr>
        <w:t>第四章 竞争性谈判</w:t>
      </w:r>
      <w:bookmarkEnd w:id="5"/>
      <w:r>
        <w:rPr>
          <w:rFonts w:hint="eastAsia" w:ascii="宋体" w:hAnsi="宋体"/>
          <w:b/>
          <w:bCs/>
          <w:sz w:val="32"/>
          <w:szCs w:val="32"/>
        </w:rPr>
        <w:t>条款</w:t>
      </w:r>
      <w:bookmarkEnd w:id="6"/>
    </w:p>
    <w:p>
      <w:pPr>
        <w:autoSpaceDE w:val="0"/>
        <w:autoSpaceDN w:val="0"/>
        <w:spacing w:before="156" w:beforeLines="50" w:line="440" w:lineRule="exact"/>
        <w:textAlignment w:val="bottom"/>
        <w:rPr>
          <w:rFonts w:ascii="宋体" w:hAnsi="宋体" w:cs="宋体"/>
          <w:sz w:val="24"/>
        </w:rPr>
      </w:pPr>
      <w:r>
        <w:rPr>
          <w:rFonts w:hint="eastAsia" w:ascii="宋体" w:hAnsi="宋体" w:cs="宋体"/>
          <w:b/>
          <w:bCs/>
          <w:sz w:val="24"/>
        </w:rPr>
        <w:t>一、谈判响应文件的语言、计量及货币</w:t>
      </w:r>
    </w:p>
    <w:p>
      <w:pPr>
        <w:autoSpaceDE w:val="0"/>
        <w:autoSpaceDN w:val="0"/>
        <w:spacing w:line="440" w:lineRule="exact"/>
        <w:ind w:firstLine="480" w:firstLineChars="200"/>
        <w:textAlignment w:val="bottom"/>
        <w:rPr>
          <w:rFonts w:ascii="宋体" w:hAnsi="宋体" w:cs="宋体"/>
          <w:spacing w:val="-6"/>
          <w:kern w:val="0"/>
          <w:sz w:val="24"/>
        </w:rPr>
      </w:pPr>
      <w:r>
        <w:rPr>
          <w:rFonts w:hint="eastAsia" w:ascii="宋体" w:hAnsi="宋体" w:cs="宋体"/>
          <w:sz w:val="24"/>
        </w:rPr>
        <w:t>1. 与本次采购有关的来往通知、函件和文件均应使用中文</w:t>
      </w:r>
      <w:r>
        <w:rPr>
          <w:rFonts w:hint="eastAsia" w:ascii="宋体" w:hAnsi="宋体" w:cs="宋体"/>
          <w:spacing w:val="-6"/>
          <w:kern w:val="0"/>
          <w:sz w:val="24"/>
        </w:rPr>
        <w:t>编写。</w:t>
      </w:r>
    </w:p>
    <w:p>
      <w:pPr>
        <w:autoSpaceDE w:val="0"/>
        <w:autoSpaceDN w:val="0"/>
        <w:spacing w:line="440" w:lineRule="exact"/>
        <w:ind w:firstLine="480" w:firstLineChars="200"/>
        <w:textAlignment w:val="bottom"/>
        <w:rPr>
          <w:rFonts w:ascii="宋体" w:hAnsi="宋体" w:cs="宋体"/>
          <w:sz w:val="24"/>
        </w:rPr>
      </w:pPr>
      <w:r>
        <w:rPr>
          <w:rFonts w:hint="eastAsia" w:ascii="宋体" w:hAnsi="宋体" w:cs="宋体"/>
          <w:sz w:val="24"/>
        </w:rPr>
        <w:t>2. 除在技术规格中另有规定外，计量单位应使用公制单位。</w:t>
      </w:r>
    </w:p>
    <w:p>
      <w:pPr>
        <w:spacing w:line="440" w:lineRule="exact"/>
        <w:ind w:firstLine="480" w:firstLineChars="200"/>
        <w:rPr>
          <w:rFonts w:ascii="宋体" w:hAnsi="宋体" w:cs="宋体"/>
          <w:sz w:val="24"/>
        </w:rPr>
      </w:pPr>
      <w:r>
        <w:rPr>
          <w:rFonts w:hint="eastAsia" w:ascii="宋体" w:hAnsi="宋体" w:cs="宋体"/>
          <w:sz w:val="24"/>
        </w:rPr>
        <w:t>3. 货币为人民币，单位为元。</w:t>
      </w:r>
    </w:p>
    <w:p>
      <w:pPr>
        <w:spacing w:line="440" w:lineRule="exact"/>
        <w:ind w:firstLine="480" w:firstLineChars="200"/>
        <w:rPr>
          <w:rFonts w:ascii="宋体" w:hAnsi="宋体" w:cs="宋体"/>
          <w:sz w:val="24"/>
        </w:rPr>
      </w:pPr>
      <w:r>
        <w:rPr>
          <w:rFonts w:hint="eastAsia" w:ascii="宋体" w:hAnsi="宋体" w:cs="宋体"/>
          <w:sz w:val="24"/>
        </w:rPr>
        <w:t>4.</w:t>
      </w:r>
      <w:r>
        <w:rPr>
          <w:rFonts w:hint="eastAsia" w:ascii="宋体" w:hAnsi="宋体" w:cs="宋体"/>
        </w:rPr>
        <w:t xml:space="preserve"> </w:t>
      </w:r>
      <w:r>
        <w:rPr>
          <w:rFonts w:hint="eastAsia" w:ascii="宋体" w:hAnsi="宋体" w:cs="宋体"/>
          <w:sz w:val="24"/>
        </w:rPr>
        <w:t>“*”、 “▲”、 “★”、 “※”系指实质性要求条款，不允许负偏离，否则废标处理。</w:t>
      </w:r>
    </w:p>
    <w:p>
      <w:pPr>
        <w:spacing w:line="440" w:lineRule="exact"/>
        <w:rPr>
          <w:rFonts w:ascii="宋体" w:hAnsi="宋体" w:cs="宋体"/>
          <w:b/>
          <w:bCs/>
          <w:sz w:val="24"/>
        </w:rPr>
      </w:pPr>
      <w:r>
        <w:rPr>
          <w:rFonts w:hint="eastAsia" w:ascii="宋体" w:hAnsi="宋体" w:cs="宋体"/>
          <w:b/>
          <w:bCs/>
          <w:sz w:val="24"/>
        </w:rPr>
        <w:t>二、对谈判响应文件的要求</w:t>
      </w:r>
    </w:p>
    <w:p>
      <w:pPr>
        <w:spacing w:line="440" w:lineRule="exact"/>
        <w:ind w:firstLine="480" w:firstLineChars="200"/>
        <w:rPr>
          <w:rFonts w:ascii="宋体" w:hAnsi="宋体" w:cs="宋体"/>
          <w:sz w:val="24"/>
        </w:rPr>
      </w:pPr>
      <w:r>
        <w:rPr>
          <w:rFonts w:hint="eastAsia" w:ascii="宋体" w:hAnsi="宋体" w:cs="宋体"/>
          <w:sz w:val="24"/>
        </w:rPr>
        <w:t>谈判响应方应仔细阅读采购文件的所有内容，按采购文件的要求提供谈判响应文件，并保证所提供的全部资料的真实性，以使其谈判对采购文件做出实质性响应，否则，其谈判可能被拒绝。</w:t>
      </w:r>
    </w:p>
    <w:p>
      <w:pPr>
        <w:spacing w:line="440" w:lineRule="exact"/>
        <w:rPr>
          <w:rFonts w:ascii="宋体" w:hAnsi="宋体" w:cs="宋体"/>
          <w:b/>
          <w:bCs/>
          <w:sz w:val="24"/>
        </w:rPr>
      </w:pPr>
      <w:r>
        <w:rPr>
          <w:rFonts w:hint="eastAsia" w:ascii="宋体" w:hAnsi="宋体" w:cs="宋体"/>
          <w:b/>
          <w:bCs/>
          <w:sz w:val="24"/>
        </w:rPr>
        <w:t>三、谈判响应文件的编制</w:t>
      </w:r>
    </w:p>
    <w:p>
      <w:pPr>
        <w:spacing w:line="440" w:lineRule="exact"/>
        <w:ind w:firstLine="482" w:firstLineChars="200"/>
        <w:rPr>
          <w:rFonts w:hint="eastAsia" w:ascii="宋体" w:hAnsi="宋体" w:cs="宋体"/>
          <w:spacing w:val="-4"/>
          <w:sz w:val="24"/>
        </w:rPr>
      </w:pPr>
      <w:r>
        <w:rPr>
          <w:rFonts w:hint="eastAsia" w:ascii="宋体" w:hAnsi="宋体"/>
          <w:b/>
          <w:sz w:val="24"/>
        </w:rPr>
        <w:t>★</w:t>
      </w:r>
      <w:r>
        <w:rPr>
          <w:rFonts w:hint="eastAsia" w:ascii="宋体" w:hAnsi="宋体" w:cs="宋体"/>
          <w:spacing w:val="-4"/>
          <w:sz w:val="24"/>
        </w:rPr>
        <w:t>谈判响应文件</w:t>
      </w:r>
      <w:r>
        <w:rPr>
          <w:rFonts w:hint="eastAsia" w:ascii="宋体" w:hAnsi="宋体" w:cs="宋体"/>
          <w:spacing w:val="-4"/>
          <w:sz w:val="24"/>
          <w:lang w:eastAsia="zh-CN"/>
        </w:rPr>
        <w:t>组成目录</w:t>
      </w:r>
      <w:r>
        <w:rPr>
          <w:rFonts w:hint="eastAsia" w:ascii="宋体" w:hAnsi="宋体" w:cs="宋体"/>
          <w:spacing w:val="-4"/>
          <w:sz w:val="24"/>
        </w:rPr>
        <w:t>。</w:t>
      </w:r>
    </w:p>
    <w:p>
      <w:pPr>
        <w:spacing w:line="440" w:lineRule="exact"/>
        <w:ind w:firstLine="464" w:firstLineChars="200"/>
        <w:rPr>
          <w:rFonts w:hint="eastAsia" w:ascii="宋体" w:hAnsi="宋体" w:cs="宋体"/>
          <w:spacing w:val="-4"/>
          <w:sz w:val="24"/>
        </w:rPr>
      </w:pPr>
      <w:r>
        <w:rPr>
          <w:rFonts w:hint="eastAsia" w:ascii="宋体" w:hAnsi="宋体" w:cs="宋体"/>
          <w:spacing w:val="-4"/>
          <w:sz w:val="24"/>
          <w:lang w:val="en-US" w:eastAsia="zh-CN"/>
        </w:rPr>
        <w:t>1、</w:t>
      </w:r>
      <w:r>
        <w:rPr>
          <w:rFonts w:hint="eastAsia" w:ascii="宋体" w:hAnsi="宋体" w:cs="宋体"/>
          <w:spacing w:val="-4"/>
          <w:sz w:val="24"/>
        </w:rPr>
        <w:t>投标函</w:t>
      </w:r>
      <w:r>
        <w:rPr>
          <w:rFonts w:ascii="宋体" w:hAnsi="宋体"/>
          <w:spacing w:val="-6"/>
          <w:sz w:val="24"/>
        </w:rPr>
        <w:t>（格式见附件）</w:t>
      </w:r>
    </w:p>
    <w:p>
      <w:pPr>
        <w:spacing w:line="440" w:lineRule="exact"/>
        <w:ind w:firstLine="464" w:firstLineChars="200"/>
        <w:rPr>
          <w:rFonts w:hint="eastAsia" w:ascii="宋体" w:hAnsi="宋体" w:cs="宋体"/>
          <w:spacing w:val="-4"/>
          <w:sz w:val="24"/>
        </w:rPr>
      </w:pPr>
      <w:r>
        <w:rPr>
          <w:rFonts w:hint="eastAsia" w:ascii="宋体" w:hAnsi="宋体" w:cs="宋体"/>
          <w:spacing w:val="-4"/>
          <w:sz w:val="24"/>
          <w:lang w:val="en-US" w:eastAsia="zh-CN"/>
        </w:rPr>
        <w:t>2、</w:t>
      </w:r>
      <w:r>
        <w:rPr>
          <w:rFonts w:hint="eastAsia" w:ascii="宋体" w:hAnsi="宋体" w:cs="宋体"/>
          <w:spacing w:val="-4"/>
          <w:sz w:val="24"/>
        </w:rPr>
        <w:t>初次报价表</w:t>
      </w:r>
      <w:r>
        <w:rPr>
          <w:rFonts w:ascii="宋体" w:hAnsi="宋体"/>
          <w:spacing w:val="-6"/>
          <w:sz w:val="24"/>
        </w:rPr>
        <w:t>（格式见附件）</w:t>
      </w:r>
    </w:p>
    <w:p>
      <w:pPr>
        <w:spacing w:line="440" w:lineRule="exact"/>
        <w:ind w:firstLine="464" w:firstLineChars="200"/>
        <w:rPr>
          <w:rFonts w:hint="eastAsia" w:ascii="宋体" w:hAnsi="宋体" w:cs="宋体"/>
          <w:spacing w:val="-4"/>
          <w:sz w:val="24"/>
        </w:rPr>
      </w:pPr>
      <w:r>
        <w:rPr>
          <w:rFonts w:hint="eastAsia" w:ascii="宋体" w:hAnsi="宋体" w:cs="宋体"/>
          <w:spacing w:val="-4"/>
          <w:sz w:val="24"/>
          <w:lang w:val="en-US" w:eastAsia="zh-CN"/>
        </w:rPr>
        <w:t>3、</w:t>
      </w:r>
      <w:r>
        <w:rPr>
          <w:rFonts w:hint="eastAsia" w:ascii="宋体" w:hAnsi="宋体" w:cs="宋体"/>
          <w:spacing w:val="-4"/>
          <w:sz w:val="24"/>
        </w:rPr>
        <w:t>供货及投标报价表</w:t>
      </w:r>
      <w:r>
        <w:rPr>
          <w:rFonts w:ascii="宋体" w:hAnsi="宋体"/>
          <w:spacing w:val="-6"/>
          <w:sz w:val="24"/>
        </w:rPr>
        <w:t>（格式见附件）</w:t>
      </w:r>
    </w:p>
    <w:p>
      <w:pPr>
        <w:spacing w:line="440" w:lineRule="exact"/>
        <w:ind w:firstLine="464" w:firstLineChars="200"/>
        <w:rPr>
          <w:rFonts w:hint="eastAsia" w:ascii="宋体" w:hAnsi="宋体" w:cs="宋体"/>
          <w:spacing w:val="-4"/>
          <w:sz w:val="24"/>
        </w:rPr>
      </w:pPr>
      <w:r>
        <w:rPr>
          <w:rFonts w:hint="eastAsia" w:ascii="宋体" w:hAnsi="宋体" w:cs="宋体"/>
          <w:spacing w:val="-4"/>
          <w:sz w:val="24"/>
          <w:lang w:val="en-US" w:eastAsia="zh-CN"/>
        </w:rPr>
        <w:t>4、</w:t>
      </w:r>
      <w:r>
        <w:rPr>
          <w:rFonts w:hint="eastAsia" w:ascii="宋体" w:hAnsi="宋体" w:cs="宋体"/>
          <w:spacing w:val="-4"/>
          <w:sz w:val="24"/>
        </w:rPr>
        <w:t>响应表</w:t>
      </w:r>
      <w:r>
        <w:rPr>
          <w:rFonts w:ascii="宋体" w:hAnsi="宋体"/>
          <w:spacing w:val="-6"/>
          <w:sz w:val="24"/>
        </w:rPr>
        <w:t>（格式见附件）</w:t>
      </w:r>
    </w:p>
    <w:p>
      <w:pPr>
        <w:spacing w:line="440" w:lineRule="exact"/>
        <w:ind w:firstLine="464" w:firstLineChars="200"/>
        <w:rPr>
          <w:rFonts w:hint="eastAsia" w:ascii="宋体" w:hAnsi="宋体" w:cs="宋体"/>
          <w:spacing w:val="-4"/>
          <w:sz w:val="24"/>
        </w:rPr>
      </w:pPr>
      <w:r>
        <w:rPr>
          <w:rFonts w:hint="eastAsia" w:ascii="宋体" w:hAnsi="宋体" w:cs="宋体"/>
          <w:spacing w:val="-4"/>
          <w:sz w:val="24"/>
          <w:lang w:val="en-US" w:eastAsia="zh-CN"/>
        </w:rPr>
        <w:t>5、</w:t>
      </w:r>
      <w:r>
        <w:rPr>
          <w:rFonts w:hint="eastAsia" w:ascii="宋体" w:hAnsi="宋体" w:cs="宋体"/>
          <w:spacing w:val="-4"/>
          <w:sz w:val="24"/>
        </w:rPr>
        <w:t>投标技术方案</w:t>
      </w:r>
      <w:r>
        <w:rPr>
          <w:rFonts w:hint="eastAsia" w:ascii="宋体" w:hAnsi="宋体" w:cs="宋体"/>
          <w:spacing w:val="-4"/>
          <w:sz w:val="24"/>
          <w:lang w:eastAsia="zh-CN"/>
        </w:rPr>
        <w:t>（针对耳机的接收方式、频率、显示屏、音质、天线、牢固程度、是否美观等阐述）</w:t>
      </w:r>
    </w:p>
    <w:p>
      <w:pPr>
        <w:spacing w:line="440" w:lineRule="exact"/>
        <w:ind w:firstLine="464" w:firstLineChars="200"/>
        <w:rPr>
          <w:rFonts w:hint="eastAsia" w:ascii="宋体" w:hAnsi="宋体" w:cs="宋体"/>
          <w:spacing w:val="-4"/>
          <w:sz w:val="24"/>
        </w:rPr>
      </w:pPr>
      <w:r>
        <w:rPr>
          <w:rFonts w:hint="eastAsia" w:ascii="宋体" w:hAnsi="宋体" w:cs="宋体"/>
          <w:spacing w:val="-4"/>
          <w:sz w:val="24"/>
          <w:lang w:val="en-US" w:eastAsia="zh-CN"/>
        </w:rPr>
        <w:t>6、</w:t>
      </w:r>
      <w:r>
        <w:rPr>
          <w:rFonts w:hint="eastAsia" w:ascii="宋体" w:hAnsi="宋体" w:cs="宋体"/>
          <w:spacing w:val="-4"/>
          <w:sz w:val="24"/>
        </w:rPr>
        <w:t>资格证明文件</w:t>
      </w:r>
    </w:p>
    <w:p>
      <w:pPr>
        <w:spacing w:line="440" w:lineRule="exact"/>
        <w:ind w:firstLine="464" w:firstLineChars="200"/>
        <w:rPr>
          <w:rFonts w:hint="eastAsia" w:ascii="宋体" w:hAnsi="宋体" w:cs="宋体"/>
          <w:spacing w:val="-4"/>
          <w:sz w:val="24"/>
        </w:rPr>
      </w:pPr>
      <w:r>
        <w:rPr>
          <w:rFonts w:hint="eastAsia" w:ascii="宋体" w:hAnsi="宋体" w:cs="宋体"/>
          <w:spacing w:val="-4"/>
          <w:sz w:val="24"/>
          <w:lang w:eastAsia="zh-CN"/>
        </w:rPr>
        <w:t>⑴</w:t>
      </w:r>
      <w:r>
        <w:rPr>
          <w:rFonts w:hint="eastAsia" w:ascii="宋体" w:hAnsi="宋体" w:cs="宋体"/>
          <w:spacing w:val="-4"/>
          <w:sz w:val="24"/>
        </w:rPr>
        <w:t>投标人简介</w:t>
      </w:r>
    </w:p>
    <w:p>
      <w:pPr>
        <w:spacing w:line="440" w:lineRule="exact"/>
        <w:ind w:firstLine="464" w:firstLineChars="200"/>
        <w:rPr>
          <w:rFonts w:hint="eastAsia" w:ascii="宋体" w:hAnsi="宋体" w:cs="宋体"/>
          <w:spacing w:val="-4"/>
          <w:sz w:val="24"/>
        </w:rPr>
      </w:pPr>
      <w:r>
        <w:rPr>
          <w:rFonts w:hint="eastAsia" w:ascii="宋体" w:hAnsi="宋体" w:cs="宋体"/>
          <w:spacing w:val="-4"/>
          <w:sz w:val="24"/>
          <w:lang w:eastAsia="zh-CN"/>
        </w:rPr>
        <w:t>⑵</w:t>
      </w:r>
      <w:r>
        <w:rPr>
          <w:rFonts w:hint="eastAsia" w:ascii="宋体" w:hAnsi="宋体" w:cs="宋体"/>
          <w:spacing w:val="-4"/>
          <w:sz w:val="24"/>
        </w:rPr>
        <w:t>营业执照（副本复印件并加盖单位公章）或法人证书（副本复印件并加盖单位公章）</w:t>
      </w:r>
    </w:p>
    <w:p>
      <w:pPr>
        <w:spacing w:line="440" w:lineRule="exact"/>
        <w:ind w:firstLine="464" w:firstLineChars="200"/>
        <w:rPr>
          <w:rFonts w:hint="eastAsia" w:ascii="宋体" w:hAnsi="宋体" w:cs="宋体"/>
          <w:spacing w:val="-4"/>
          <w:sz w:val="24"/>
        </w:rPr>
      </w:pPr>
      <w:r>
        <w:rPr>
          <w:rFonts w:hint="eastAsia" w:ascii="宋体" w:hAnsi="宋体" w:cs="宋体"/>
          <w:spacing w:val="-4"/>
          <w:sz w:val="24"/>
          <w:lang w:eastAsia="zh-CN"/>
        </w:rPr>
        <w:t>⑶</w:t>
      </w:r>
      <w:r>
        <w:rPr>
          <w:rFonts w:hint="eastAsia" w:ascii="宋体" w:hAnsi="宋体" w:cs="宋体"/>
          <w:spacing w:val="-4"/>
          <w:sz w:val="24"/>
        </w:rPr>
        <w:t>税务登记证（复印件并加盖单位公章）</w:t>
      </w:r>
    </w:p>
    <w:p>
      <w:pPr>
        <w:spacing w:line="440" w:lineRule="exact"/>
        <w:ind w:firstLine="464" w:firstLineChars="200"/>
        <w:rPr>
          <w:rFonts w:hint="eastAsia" w:ascii="宋体" w:hAnsi="宋体" w:cs="宋体"/>
          <w:spacing w:val="-4"/>
          <w:sz w:val="24"/>
        </w:rPr>
      </w:pPr>
      <w:r>
        <w:rPr>
          <w:rFonts w:hint="eastAsia" w:ascii="宋体" w:hAnsi="宋体" w:cs="宋体"/>
          <w:spacing w:val="-4"/>
          <w:sz w:val="24"/>
          <w:lang w:eastAsia="zh-CN"/>
        </w:rPr>
        <w:t>⑷</w:t>
      </w:r>
      <w:r>
        <w:rPr>
          <w:rFonts w:hint="eastAsia" w:ascii="宋体" w:hAnsi="宋体" w:cs="宋体"/>
          <w:spacing w:val="-4"/>
          <w:sz w:val="24"/>
        </w:rPr>
        <w:t>法定代表人授权书（法定代表人直接来投标不需要提供，须附上其身份证复印件）</w:t>
      </w:r>
    </w:p>
    <w:p>
      <w:pPr>
        <w:spacing w:line="440" w:lineRule="exact"/>
        <w:ind w:firstLine="464" w:firstLineChars="200"/>
        <w:rPr>
          <w:rFonts w:hint="eastAsia" w:ascii="宋体" w:hAnsi="宋体" w:cs="宋体"/>
          <w:spacing w:val="-4"/>
          <w:sz w:val="24"/>
        </w:rPr>
      </w:pPr>
      <w:r>
        <w:rPr>
          <w:rFonts w:hint="eastAsia" w:ascii="宋体" w:hAnsi="宋体" w:cs="宋体"/>
          <w:spacing w:val="-4"/>
          <w:sz w:val="24"/>
          <w:lang w:eastAsia="zh-CN"/>
        </w:rPr>
        <w:t>⑸</w:t>
      </w:r>
      <w:r>
        <w:rPr>
          <w:rFonts w:hint="eastAsia" w:ascii="宋体" w:hAnsi="宋体" w:cs="宋体"/>
          <w:spacing w:val="-4"/>
          <w:sz w:val="24"/>
        </w:rPr>
        <w:t>公司具有的资质、信誉证书及有关人员获得的资质证明材料</w:t>
      </w:r>
    </w:p>
    <w:p>
      <w:pPr>
        <w:spacing w:line="440" w:lineRule="exact"/>
        <w:ind w:firstLine="464" w:firstLineChars="200"/>
        <w:rPr>
          <w:rFonts w:hint="eastAsia" w:ascii="宋体" w:hAnsi="宋体" w:cs="宋体"/>
          <w:spacing w:val="-4"/>
          <w:sz w:val="24"/>
        </w:rPr>
      </w:pPr>
      <w:r>
        <w:rPr>
          <w:rFonts w:hint="eastAsia" w:ascii="宋体" w:hAnsi="宋体" w:cs="宋体"/>
          <w:spacing w:val="-4"/>
          <w:sz w:val="24"/>
          <w:lang w:eastAsia="zh-CN"/>
        </w:rPr>
        <w:t>⑹</w:t>
      </w:r>
      <w:r>
        <w:rPr>
          <w:rFonts w:hint="eastAsia" w:ascii="宋体" w:hAnsi="宋体" w:cs="宋体"/>
          <w:spacing w:val="-4"/>
          <w:sz w:val="24"/>
        </w:rPr>
        <w:t>能够证明投标人满足本项目资格要求所需的各种证明材料</w:t>
      </w:r>
    </w:p>
    <w:p>
      <w:pPr>
        <w:spacing w:line="440" w:lineRule="exact"/>
        <w:ind w:firstLine="464" w:firstLineChars="200"/>
        <w:rPr>
          <w:rFonts w:hint="eastAsia" w:ascii="宋体" w:hAnsi="宋体" w:cs="宋体"/>
          <w:spacing w:val="-4"/>
          <w:sz w:val="24"/>
        </w:rPr>
      </w:pPr>
      <w:r>
        <w:rPr>
          <w:rFonts w:hint="eastAsia" w:ascii="宋体" w:hAnsi="宋体" w:cs="宋体"/>
          <w:spacing w:val="-4"/>
          <w:sz w:val="24"/>
          <w:lang w:eastAsia="zh-CN"/>
        </w:rPr>
        <w:t>⑺</w:t>
      </w:r>
      <w:r>
        <w:rPr>
          <w:rFonts w:hint="eastAsia" w:ascii="宋体" w:hAnsi="宋体" w:cs="宋体"/>
          <w:spacing w:val="-4"/>
          <w:sz w:val="24"/>
        </w:rPr>
        <w:t>投标人业绩表及证明资料</w:t>
      </w:r>
      <w:r>
        <w:rPr>
          <w:rFonts w:ascii="宋体" w:hAnsi="宋体"/>
          <w:spacing w:val="-6"/>
          <w:sz w:val="24"/>
        </w:rPr>
        <w:t>（格式见附件）</w:t>
      </w:r>
    </w:p>
    <w:p>
      <w:pPr>
        <w:spacing w:line="440" w:lineRule="exact"/>
        <w:ind w:firstLine="464" w:firstLineChars="200"/>
        <w:rPr>
          <w:rFonts w:hint="eastAsia" w:ascii="宋体" w:hAnsi="宋体" w:cs="宋体"/>
          <w:spacing w:val="-4"/>
          <w:sz w:val="24"/>
        </w:rPr>
      </w:pPr>
      <w:r>
        <w:rPr>
          <w:rFonts w:hint="eastAsia" w:ascii="宋体" w:hAnsi="宋体" w:cs="宋体"/>
          <w:spacing w:val="-4"/>
          <w:sz w:val="24"/>
          <w:lang w:eastAsia="zh-CN"/>
        </w:rPr>
        <w:t>⑻</w:t>
      </w:r>
      <w:r>
        <w:rPr>
          <w:rFonts w:hint="eastAsia" w:ascii="宋体" w:hAnsi="宋体" w:cs="宋体"/>
          <w:spacing w:val="-4"/>
          <w:sz w:val="24"/>
        </w:rPr>
        <w:t>生产厂商授权书（</w:t>
      </w:r>
      <w:r>
        <w:rPr>
          <w:rFonts w:hint="eastAsia" w:ascii="宋体" w:hAnsi="宋体" w:cs="宋体"/>
          <w:spacing w:val="-4"/>
          <w:sz w:val="24"/>
          <w:lang w:eastAsia="zh-CN"/>
        </w:rPr>
        <w:t>如果有请提供</w:t>
      </w:r>
      <w:r>
        <w:rPr>
          <w:rFonts w:hint="eastAsia" w:ascii="宋体" w:hAnsi="宋体" w:cs="宋体"/>
          <w:spacing w:val="-4"/>
          <w:sz w:val="24"/>
        </w:rPr>
        <w:t>）</w:t>
      </w:r>
      <w:r>
        <w:rPr>
          <w:rFonts w:ascii="宋体" w:hAnsi="宋体"/>
          <w:spacing w:val="-6"/>
          <w:sz w:val="24"/>
        </w:rPr>
        <w:t>（格式见附件）</w:t>
      </w:r>
    </w:p>
    <w:p>
      <w:pPr>
        <w:spacing w:line="440" w:lineRule="exact"/>
        <w:ind w:firstLine="464" w:firstLineChars="200"/>
        <w:rPr>
          <w:rFonts w:hint="eastAsia" w:ascii="宋体" w:hAnsi="宋体" w:cs="宋体"/>
          <w:spacing w:val="-4"/>
          <w:sz w:val="24"/>
        </w:rPr>
      </w:pPr>
      <w:r>
        <w:rPr>
          <w:rFonts w:hint="eastAsia" w:ascii="宋体" w:hAnsi="宋体" w:cs="宋体"/>
          <w:spacing w:val="-4"/>
          <w:sz w:val="24"/>
          <w:lang w:eastAsia="zh-CN"/>
        </w:rPr>
        <w:t>⑼</w:t>
      </w:r>
      <w:r>
        <w:rPr>
          <w:rFonts w:hint="eastAsia" w:ascii="宋体" w:hAnsi="宋体" w:cs="宋体"/>
          <w:spacing w:val="-4"/>
          <w:sz w:val="24"/>
        </w:rPr>
        <w:t>有效产品彩页（原生产厂家的印刷品，并能够反映所投产品的技术参数和功能等）或说明书（如果有</w:t>
      </w:r>
      <w:r>
        <w:rPr>
          <w:rFonts w:hint="eastAsia" w:ascii="宋体" w:hAnsi="宋体" w:cs="宋体"/>
          <w:spacing w:val="-4"/>
          <w:sz w:val="24"/>
          <w:lang w:eastAsia="zh-CN"/>
        </w:rPr>
        <w:t>请提供</w:t>
      </w:r>
      <w:r>
        <w:rPr>
          <w:rFonts w:hint="eastAsia" w:ascii="宋体" w:hAnsi="宋体" w:cs="宋体"/>
          <w:spacing w:val="-4"/>
          <w:sz w:val="24"/>
        </w:rPr>
        <w:t>）</w:t>
      </w:r>
    </w:p>
    <w:p>
      <w:pPr>
        <w:spacing w:line="440" w:lineRule="exact"/>
        <w:ind w:firstLine="464" w:firstLineChars="200"/>
        <w:rPr>
          <w:rFonts w:hint="eastAsia" w:ascii="宋体" w:hAnsi="宋体" w:cs="宋体"/>
          <w:spacing w:val="-4"/>
          <w:sz w:val="24"/>
        </w:rPr>
      </w:pPr>
      <w:r>
        <w:rPr>
          <w:rFonts w:hint="eastAsia" w:ascii="宋体" w:hAnsi="宋体" w:cs="宋体"/>
          <w:spacing w:val="-4"/>
          <w:sz w:val="24"/>
          <w:lang w:eastAsia="zh-CN"/>
        </w:rPr>
        <w:t>⑽</w:t>
      </w:r>
      <w:r>
        <w:rPr>
          <w:rFonts w:hint="eastAsia" w:ascii="宋体" w:hAnsi="宋体" w:cs="宋体"/>
          <w:spacing w:val="-4"/>
          <w:sz w:val="24"/>
        </w:rPr>
        <w:t>售后服务及维保体系等</w:t>
      </w:r>
    </w:p>
    <w:p>
      <w:pPr>
        <w:spacing w:line="360" w:lineRule="auto"/>
        <w:ind w:firstLine="464" w:firstLineChars="200"/>
        <w:rPr>
          <w:rFonts w:hint="eastAsia" w:ascii="宋体" w:hAnsi="宋体" w:cs="宋体"/>
          <w:spacing w:val="-4"/>
          <w:sz w:val="24"/>
        </w:rPr>
      </w:pPr>
      <w:r>
        <w:rPr>
          <w:rFonts w:hint="eastAsia" w:ascii="宋体" w:hAnsi="宋体" w:cs="宋体"/>
          <w:spacing w:val="-4"/>
          <w:sz w:val="24"/>
          <w:lang w:val="en-US" w:eastAsia="zh-CN"/>
        </w:rPr>
        <w:t>7、</w:t>
      </w:r>
      <w:r>
        <w:rPr>
          <w:rFonts w:hint="eastAsia" w:ascii="宋体" w:hAnsi="宋体" w:cs="宋体"/>
          <w:spacing w:val="-4"/>
          <w:sz w:val="24"/>
        </w:rPr>
        <w:t>安全保证承诺</w:t>
      </w:r>
    </w:p>
    <w:p>
      <w:pPr>
        <w:pStyle w:val="2"/>
        <w:ind w:firstLine="464" w:firstLineChars="200"/>
        <w:rPr>
          <w:rFonts w:hint="default" w:eastAsia="宋体"/>
          <w:lang w:val="en-US" w:eastAsia="zh-CN"/>
        </w:rPr>
      </w:pPr>
      <w:r>
        <w:rPr>
          <w:rFonts w:hint="eastAsia" w:ascii="宋体" w:hAnsi="宋体" w:cs="宋体"/>
          <w:spacing w:val="-4"/>
          <w:sz w:val="24"/>
          <w:lang w:val="en-US" w:eastAsia="zh-CN"/>
        </w:rPr>
        <w:t>8、诚信承诺书</w:t>
      </w:r>
      <w:r>
        <w:rPr>
          <w:rFonts w:ascii="宋体" w:hAnsi="宋体"/>
          <w:spacing w:val="-6"/>
          <w:sz w:val="24"/>
        </w:rPr>
        <w:t>（格式见附件）</w:t>
      </w:r>
    </w:p>
    <w:p>
      <w:pPr>
        <w:pStyle w:val="2"/>
        <w:spacing w:line="360" w:lineRule="auto"/>
        <w:rPr>
          <w:rFonts w:hint="eastAsia" w:eastAsia="宋体"/>
          <w:lang w:eastAsia="zh-CN"/>
        </w:rPr>
      </w:pPr>
      <w:r>
        <w:rPr>
          <w:rFonts w:hint="eastAsia" w:ascii="宋体" w:hAnsi="宋体"/>
          <w:b/>
          <w:sz w:val="24"/>
        </w:rPr>
        <w:t>★</w:t>
      </w:r>
      <w:r>
        <w:rPr>
          <w:rFonts w:hint="eastAsia" w:ascii="宋体" w:hAnsi="宋体" w:eastAsia="宋体" w:cs="宋体"/>
          <w:sz w:val="24"/>
          <w:szCs w:val="24"/>
          <w:highlight w:val="yellow"/>
        </w:rPr>
        <w:t>提供不少于</w:t>
      </w:r>
      <w:r>
        <w:rPr>
          <w:rFonts w:hint="eastAsia" w:ascii="宋体" w:hAnsi="宋体" w:eastAsia="宋体" w:cs="宋体"/>
          <w:sz w:val="24"/>
          <w:szCs w:val="24"/>
          <w:highlight w:val="yellow"/>
          <w:lang w:val="en-US" w:eastAsia="zh-CN"/>
        </w:rPr>
        <w:t>1</w:t>
      </w:r>
      <w:r>
        <w:rPr>
          <w:rFonts w:hint="eastAsia" w:ascii="宋体" w:hAnsi="宋体" w:eastAsia="宋体" w:cs="宋体"/>
          <w:sz w:val="24"/>
          <w:szCs w:val="24"/>
          <w:highlight w:val="yellow"/>
        </w:rPr>
        <w:t>只同型号的耳机供评测使用（样品不退还）</w:t>
      </w:r>
      <w:r>
        <w:rPr>
          <w:rFonts w:hint="eastAsia" w:ascii="宋体" w:hAnsi="宋体" w:cs="宋体"/>
          <w:sz w:val="24"/>
          <w:szCs w:val="24"/>
          <w:highlight w:val="yellow"/>
          <w:lang w:eastAsia="zh-CN"/>
        </w:rPr>
        <w:t>，样品应单独密封并与投标文件密封袋放在同一个快递内。</w:t>
      </w:r>
    </w:p>
    <w:p>
      <w:pPr>
        <w:overflowPunct w:val="0"/>
        <w:autoSpaceDE w:val="0"/>
        <w:autoSpaceDN w:val="0"/>
        <w:adjustRightInd w:val="0"/>
        <w:spacing w:line="440" w:lineRule="exact"/>
        <w:textAlignment w:val="baseline"/>
        <w:rPr>
          <w:rFonts w:ascii="宋体" w:hAnsi="宋体" w:cs="宋体"/>
          <w:b/>
          <w:bCs/>
          <w:color w:val="auto"/>
          <w:kern w:val="0"/>
          <w:sz w:val="24"/>
        </w:rPr>
      </w:pPr>
      <w:r>
        <w:rPr>
          <w:rFonts w:hint="eastAsia" w:ascii="宋体" w:hAnsi="宋体" w:cs="宋体"/>
          <w:b/>
          <w:bCs/>
          <w:kern w:val="0"/>
          <w:sz w:val="24"/>
        </w:rPr>
        <w:t>四、</w:t>
      </w:r>
      <w:r>
        <w:rPr>
          <w:rFonts w:hint="eastAsia" w:ascii="宋体" w:hAnsi="宋体" w:cs="宋体"/>
          <w:b/>
          <w:bCs/>
          <w:color w:val="auto"/>
          <w:kern w:val="0"/>
          <w:sz w:val="24"/>
        </w:rPr>
        <w:t>谈判报价</w:t>
      </w:r>
    </w:p>
    <w:p>
      <w:pPr>
        <w:overflowPunct w:val="0"/>
        <w:autoSpaceDE w:val="0"/>
        <w:autoSpaceDN w:val="0"/>
        <w:adjustRightInd w:val="0"/>
        <w:spacing w:line="440" w:lineRule="exact"/>
        <w:ind w:firstLine="480" w:firstLineChars="200"/>
        <w:textAlignment w:val="baseline"/>
        <w:rPr>
          <w:rFonts w:ascii="宋体" w:hAnsi="宋体" w:cs="宋体"/>
          <w:bCs/>
          <w:color w:val="auto"/>
          <w:kern w:val="0"/>
          <w:sz w:val="24"/>
        </w:rPr>
      </w:pPr>
      <w:r>
        <w:rPr>
          <w:rFonts w:hint="eastAsia" w:ascii="宋体" w:hAnsi="宋体" w:cs="宋体"/>
          <w:bCs/>
          <w:color w:val="auto"/>
          <w:kern w:val="0"/>
          <w:sz w:val="24"/>
        </w:rPr>
        <w:t>1.谈判报价最高限价：</w:t>
      </w:r>
      <w:r>
        <w:rPr>
          <w:rFonts w:hint="eastAsia" w:ascii="宋体" w:hAnsi="宋体" w:cs="宋体"/>
          <w:bCs/>
          <w:color w:val="auto"/>
          <w:kern w:val="0"/>
          <w:sz w:val="24"/>
          <w:lang w:val="en-US" w:eastAsia="zh-CN"/>
        </w:rPr>
        <w:t>25</w:t>
      </w:r>
      <w:r>
        <w:rPr>
          <w:rFonts w:hint="eastAsia" w:ascii="宋体" w:hAnsi="宋体" w:cs="宋体"/>
          <w:bCs/>
          <w:color w:val="auto"/>
          <w:kern w:val="0"/>
          <w:sz w:val="24"/>
        </w:rPr>
        <w:t>元</w:t>
      </w:r>
      <w:r>
        <w:rPr>
          <w:rFonts w:hint="eastAsia" w:ascii="宋体" w:hAnsi="宋体" w:cs="宋体"/>
          <w:bCs/>
          <w:color w:val="auto"/>
          <w:kern w:val="0"/>
          <w:sz w:val="24"/>
          <w:lang w:val="en-US" w:eastAsia="zh-CN"/>
        </w:rPr>
        <w:t>/只</w:t>
      </w:r>
      <w:r>
        <w:rPr>
          <w:rFonts w:ascii="宋体" w:hAnsi="宋体" w:cs="宋体"/>
          <w:bCs/>
          <w:color w:val="auto"/>
          <w:kern w:val="0"/>
          <w:sz w:val="24"/>
        </w:rPr>
        <w:t xml:space="preserve">； </w:t>
      </w:r>
    </w:p>
    <w:p>
      <w:pPr>
        <w:spacing w:line="440" w:lineRule="exact"/>
        <w:ind w:firstLine="480" w:firstLineChars="200"/>
        <w:rPr>
          <w:rFonts w:ascii="宋体" w:hAnsi="宋体" w:cs="宋体"/>
          <w:color w:val="auto"/>
          <w:spacing w:val="-4"/>
          <w:sz w:val="24"/>
        </w:rPr>
      </w:pPr>
      <w:r>
        <w:rPr>
          <w:rFonts w:hint="eastAsia" w:ascii="宋体" w:hAnsi="宋体" w:cs="宋体"/>
          <w:color w:val="auto"/>
          <w:sz w:val="24"/>
        </w:rPr>
        <w:t>2.谈判</w:t>
      </w:r>
      <w:r>
        <w:rPr>
          <w:rFonts w:hint="eastAsia" w:ascii="宋体" w:hAnsi="宋体" w:cs="宋体"/>
          <w:color w:val="auto"/>
          <w:spacing w:val="-4"/>
          <w:sz w:val="24"/>
        </w:rPr>
        <w:t>报价是履行合同的价格，</w:t>
      </w:r>
      <w:r>
        <w:rPr>
          <w:rFonts w:hint="eastAsia" w:ascii="宋体" w:hAnsi="宋体" w:cs="宋体"/>
          <w:color w:val="auto"/>
          <w:sz w:val="24"/>
        </w:rPr>
        <w:t>应包含完成本项目合同内容所涉及的全部费用，包含但不仅限于所需软件的验收配合、第三方检测（如需）、售后服务以及完成采购需求所涉及的其他一切内容所需的全部费用，以及税金、人工费、管理费、合理利润、风险费、投标费用等一切成本及费用。</w:t>
      </w:r>
      <w:r>
        <w:rPr>
          <w:rFonts w:hint="eastAsia" w:ascii="宋体" w:hAnsi="宋体" w:cs="宋体"/>
          <w:color w:val="auto"/>
          <w:spacing w:val="-4"/>
          <w:sz w:val="24"/>
        </w:rPr>
        <w:t>谈判响应</w:t>
      </w:r>
      <w:r>
        <w:rPr>
          <w:rFonts w:hint="eastAsia" w:ascii="宋体" w:hAnsi="宋体" w:cs="宋体"/>
          <w:bCs/>
          <w:color w:val="auto"/>
          <w:spacing w:val="-4"/>
          <w:sz w:val="24"/>
        </w:rPr>
        <w:t>方</w:t>
      </w:r>
      <w:r>
        <w:rPr>
          <w:rFonts w:hint="eastAsia" w:ascii="宋体" w:hAnsi="宋体" w:cs="宋体"/>
          <w:color w:val="auto"/>
          <w:spacing w:val="-4"/>
          <w:sz w:val="24"/>
        </w:rPr>
        <w:t>的谈判报价为整个采购项目的总报价，如有漏项，视同已包含在项目中，合同总价不做调整。</w:t>
      </w:r>
    </w:p>
    <w:p>
      <w:pPr>
        <w:spacing w:line="440" w:lineRule="exact"/>
        <w:ind w:firstLine="480" w:firstLineChars="200"/>
        <w:rPr>
          <w:rFonts w:ascii="宋体" w:hAnsi="宋体" w:cs="宋体"/>
          <w:color w:val="auto"/>
          <w:sz w:val="24"/>
        </w:rPr>
      </w:pPr>
      <w:r>
        <w:rPr>
          <w:rFonts w:hint="eastAsia" w:ascii="宋体" w:hAnsi="宋体" w:cs="宋体"/>
          <w:color w:val="auto"/>
          <w:sz w:val="24"/>
        </w:rPr>
        <w:t>3．谈判响应方应在谈判响应文件和报价表上写明谈判总价。如果大写金额和小写金额不一致的，以大写金额为准；对不同文字文体谈判响应文件的解释发生异议的，以中文文件为准。</w:t>
      </w:r>
    </w:p>
    <w:p>
      <w:pPr>
        <w:overflowPunct w:val="0"/>
        <w:autoSpaceDE w:val="0"/>
        <w:autoSpaceDN w:val="0"/>
        <w:adjustRightInd w:val="0"/>
        <w:spacing w:line="440" w:lineRule="exact"/>
        <w:textAlignment w:val="baseline"/>
        <w:rPr>
          <w:rFonts w:ascii="宋体" w:hAnsi="宋体" w:cs="宋体"/>
          <w:b/>
          <w:bCs/>
          <w:color w:val="auto"/>
          <w:kern w:val="0"/>
          <w:sz w:val="24"/>
        </w:rPr>
      </w:pPr>
      <w:r>
        <w:rPr>
          <w:rFonts w:hint="eastAsia" w:ascii="宋体" w:hAnsi="宋体" w:cs="宋体"/>
          <w:b/>
          <w:bCs/>
          <w:color w:val="auto"/>
          <w:kern w:val="0"/>
          <w:sz w:val="24"/>
        </w:rPr>
        <w:t>五、履约保证金</w:t>
      </w:r>
    </w:p>
    <w:p>
      <w:pPr>
        <w:spacing w:line="440" w:lineRule="exact"/>
        <w:rPr>
          <w:rFonts w:ascii="宋体" w:hAnsi="宋体" w:cs="宋体"/>
          <w:sz w:val="24"/>
        </w:rPr>
      </w:pPr>
      <w:r>
        <w:rPr>
          <w:rFonts w:hint="eastAsia" w:ascii="宋体" w:hAnsi="宋体" w:cs="宋体"/>
          <w:b/>
          <w:bCs/>
          <w:color w:val="auto"/>
          <w:kern w:val="0"/>
          <w:sz w:val="24"/>
        </w:rPr>
        <w:t xml:space="preserve"> </w:t>
      </w:r>
      <w:r>
        <w:rPr>
          <w:rFonts w:ascii="宋体" w:hAnsi="宋体" w:cs="宋体"/>
          <w:b/>
          <w:bCs/>
          <w:color w:val="auto"/>
          <w:kern w:val="0"/>
          <w:sz w:val="24"/>
        </w:rPr>
        <w:t xml:space="preserve">  </w:t>
      </w:r>
      <w:r>
        <w:rPr>
          <w:rFonts w:hint="eastAsia" w:ascii="宋体" w:hAnsi="宋体" w:cs="宋体"/>
          <w:color w:val="auto"/>
          <w:sz w:val="24"/>
        </w:rPr>
        <w:t>▲1.保证金形式</w:t>
      </w:r>
      <w:r>
        <w:rPr>
          <w:rFonts w:hint="eastAsia" w:ascii="宋体" w:hAnsi="宋体" w:cs="宋体"/>
          <w:sz w:val="24"/>
        </w:rPr>
        <w:t>：</w:t>
      </w:r>
      <w:r>
        <w:rPr>
          <w:rFonts w:hint="eastAsia" w:ascii="宋体" w:hAnsi="宋体" w:cs="宋体"/>
          <w:sz w:val="24"/>
          <w:u w:val="single"/>
        </w:rPr>
        <w:t>汇票、电汇、转帐</w:t>
      </w:r>
      <w:r>
        <w:rPr>
          <w:rFonts w:hint="eastAsia" w:ascii="宋体" w:hAnsi="宋体" w:cs="宋体"/>
          <w:sz w:val="24"/>
        </w:rPr>
        <w:t xml:space="preserve">   </w:t>
      </w:r>
    </w:p>
    <w:p>
      <w:pPr>
        <w:spacing w:line="440" w:lineRule="exact"/>
        <w:ind w:firstLine="360" w:firstLineChars="150"/>
        <w:rPr>
          <w:rFonts w:ascii="宋体" w:hAnsi="宋体" w:cs="宋体"/>
          <w:sz w:val="24"/>
        </w:rPr>
      </w:pPr>
      <w:r>
        <w:rPr>
          <w:rFonts w:hint="eastAsia" w:ascii="宋体" w:hAnsi="宋体" w:cs="宋体"/>
          <w:sz w:val="24"/>
        </w:rPr>
        <w:t>▲2.中标人应在中标通知书发出后</w:t>
      </w:r>
      <w:r>
        <w:rPr>
          <w:rFonts w:hint="eastAsia" w:ascii="宋体" w:hAnsi="宋体" w:cs="宋体"/>
          <w:sz w:val="24"/>
          <w:u w:val="single"/>
        </w:rPr>
        <w:t>30</w:t>
      </w:r>
      <w:r>
        <w:rPr>
          <w:rFonts w:hint="eastAsia" w:ascii="宋体" w:hAnsi="宋体" w:cs="宋体"/>
          <w:sz w:val="24"/>
        </w:rPr>
        <w:t>日内与采购人签订合同，履约保证金为中标价的5%，在领取中标通知书前向采购人指定账户交纳。</w:t>
      </w:r>
    </w:p>
    <w:p>
      <w:pPr>
        <w:overflowPunct w:val="0"/>
        <w:autoSpaceDE w:val="0"/>
        <w:autoSpaceDN w:val="0"/>
        <w:adjustRightInd w:val="0"/>
        <w:spacing w:line="440" w:lineRule="exact"/>
        <w:textAlignment w:val="baseline"/>
        <w:rPr>
          <w:rFonts w:ascii="宋体" w:hAnsi="宋体" w:cs="宋体"/>
          <w:b/>
          <w:bCs/>
          <w:kern w:val="0"/>
          <w:sz w:val="24"/>
        </w:rPr>
      </w:pPr>
      <w:r>
        <w:rPr>
          <w:rFonts w:hint="eastAsia" w:ascii="宋体" w:hAnsi="宋体" w:cs="宋体"/>
          <w:b/>
          <w:bCs/>
          <w:kern w:val="0"/>
          <w:sz w:val="24"/>
        </w:rPr>
        <w:t>六、谈判响应文件有效期</w:t>
      </w:r>
    </w:p>
    <w:p>
      <w:pPr>
        <w:spacing w:line="440" w:lineRule="exact"/>
        <w:ind w:firstLine="480" w:firstLineChars="200"/>
        <w:rPr>
          <w:rFonts w:ascii="宋体" w:hAnsi="宋体" w:cs="宋体"/>
          <w:sz w:val="24"/>
        </w:rPr>
      </w:pPr>
      <w:r>
        <w:rPr>
          <w:rFonts w:hint="eastAsia" w:ascii="宋体" w:hAnsi="宋体" w:cs="宋体"/>
          <w:sz w:val="24"/>
        </w:rPr>
        <w:t>1、自谈判截止日起60天谈判响应文件应保持有效。有效期不足的谈判响应文件将被拒绝。</w:t>
      </w:r>
    </w:p>
    <w:p>
      <w:pPr>
        <w:spacing w:line="440" w:lineRule="exact"/>
        <w:ind w:firstLine="480" w:firstLineChars="200"/>
        <w:rPr>
          <w:rFonts w:ascii="宋体" w:hAnsi="宋体" w:cs="宋体"/>
          <w:sz w:val="24"/>
        </w:rPr>
      </w:pPr>
      <w:r>
        <w:rPr>
          <w:rFonts w:hint="eastAsia" w:ascii="宋体" w:hAnsi="宋体" w:cs="宋体"/>
          <w:sz w:val="24"/>
        </w:rPr>
        <w:t>2、在特殊情况下，谈判方可与谈判响应方协商延长谈判响应文件的有效期，这种要求和答复均以书面形式进行。</w:t>
      </w:r>
    </w:p>
    <w:p>
      <w:pPr>
        <w:spacing w:line="440" w:lineRule="exact"/>
        <w:ind w:firstLine="480" w:firstLineChars="200"/>
        <w:rPr>
          <w:rFonts w:ascii="宋体" w:hAnsi="宋体" w:cs="宋体"/>
          <w:sz w:val="24"/>
        </w:rPr>
      </w:pPr>
      <w:r>
        <w:rPr>
          <w:rFonts w:hint="eastAsia" w:ascii="宋体" w:hAnsi="宋体" w:cs="宋体"/>
          <w:sz w:val="24"/>
        </w:rPr>
        <w:t xml:space="preserve">3、谈判响应方可拒绝接受延期要求，但不能修改谈判响应文件。 </w:t>
      </w:r>
    </w:p>
    <w:p>
      <w:pPr>
        <w:spacing w:line="440" w:lineRule="exact"/>
        <w:ind w:firstLine="480" w:firstLineChars="200"/>
        <w:rPr>
          <w:rFonts w:hint="eastAsia" w:ascii="宋体" w:hAnsi="宋体"/>
          <w:b/>
          <w:sz w:val="24"/>
        </w:rPr>
      </w:pPr>
      <w:r>
        <w:rPr>
          <w:rFonts w:hint="eastAsia" w:ascii="宋体" w:hAnsi="宋体" w:cs="宋体"/>
          <w:sz w:val="24"/>
        </w:rPr>
        <w:t>4、中标人的谈判响应文件自开标之日起至合同履行完毕止均应保持有效。</w:t>
      </w:r>
    </w:p>
    <w:p>
      <w:pPr>
        <w:spacing w:line="360" w:lineRule="auto"/>
        <w:rPr>
          <w:rFonts w:ascii="宋体" w:hAnsi="宋体" w:cs="宋体"/>
          <w:b/>
          <w:sz w:val="24"/>
        </w:rPr>
      </w:pPr>
      <w:r>
        <w:rPr>
          <w:rFonts w:hint="eastAsia" w:ascii="宋体" w:hAnsi="宋体" w:cs="宋体"/>
          <w:b/>
          <w:sz w:val="24"/>
          <w:lang w:eastAsia="zh-CN"/>
        </w:rPr>
        <w:t>七、</w:t>
      </w:r>
      <w:r>
        <w:rPr>
          <w:rFonts w:ascii="宋体" w:hAnsi="宋体" w:cs="宋体"/>
          <w:b/>
          <w:sz w:val="24"/>
        </w:rPr>
        <w:t>投标文件的签署和份数</w:t>
      </w:r>
    </w:p>
    <w:p>
      <w:pPr>
        <w:spacing w:line="360" w:lineRule="auto"/>
        <w:ind w:firstLine="600"/>
        <w:rPr>
          <w:rFonts w:ascii="宋体" w:hAnsi="宋体" w:cs="宋体"/>
          <w:sz w:val="24"/>
        </w:rPr>
      </w:pPr>
      <w:r>
        <w:rPr>
          <w:rFonts w:ascii="宋体" w:hAnsi="宋体" w:cs="宋体"/>
          <w:sz w:val="24"/>
        </w:rPr>
        <w:t>1.投标人应按本招标文件规定的格式和顺序编制、装订投标文件并标注页码，投标文件内容不完整、编排混乱导致投标文件被误读、漏读或者查找不到相关内容的，是投标人的责任。</w:t>
      </w:r>
    </w:p>
    <w:p>
      <w:pPr>
        <w:spacing w:line="360" w:lineRule="auto"/>
        <w:ind w:firstLine="480"/>
        <w:rPr>
          <w:rFonts w:ascii="宋体" w:hAnsi="宋体" w:cs="宋体"/>
          <w:sz w:val="24"/>
        </w:rPr>
      </w:pPr>
      <w:r>
        <w:rPr>
          <w:rFonts w:ascii="宋体" w:hAnsi="宋体" w:cs="宋体"/>
          <w:sz w:val="24"/>
        </w:rPr>
        <w:t>2</w:t>
      </w:r>
      <w:r>
        <w:rPr>
          <w:rFonts w:ascii="宋体" w:hAnsi="宋体" w:cs="宋体"/>
          <w:spacing w:val="-10"/>
          <w:sz w:val="24"/>
        </w:rPr>
        <w:t>.投标文件应按正本1份和副本</w:t>
      </w:r>
      <w:r>
        <w:rPr>
          <w:rFonts w:hint="eastAsia" w:ascii="宋体" w:hAnsi="宋体" w:cs="宋体"/>
          <w:spacing w:val="-10"/>
          <w:sz w:val="24"/>
          <w:lang w:val="en-US" w:eastAsia="zh-CN"/>
        </w:rPr>
        <w:t>2</w:t>
      </w:r>
      <w:r>
        <w:rPr>
          <w:rFonts w:ascii="宋体" w:hAnsi="宋体" w:cs="宋体"/>
          <w:spacing w:val="-10"/>
          <w:sz w:val="24"/>
        </w:rPr>
        <w:t>份编制并单独装订成册，投标文件的封面应注明“正本”、“副本”字样。</w:t>
      </w:r>
    </w:p>
    <w:p>
      <w:pPr>
        <w:spacing w:line="360" w:lineRule="auto"/>
        <w:ind w:firstLine="480"/>
        <w:rPr>
          <w:rFonts w:ascii="宋体" w:hAnsi="宋体" w:cs="宋体"/>
          <w:sz w:val="24"/>
        </w:rPr>
      </w:pPr>
      <w:r>
        <w:rPr>
          <w:rFonts w:ascii="宋体" w:hAnsi="宋体" w:cs="宋体"/>
          <w:sz w:val="24"/>
        </w:rPr>
        <w:t>3.投标文件需打印或用不褪色的墨水填写，投标文件正本除本《投标人须知》中规定的可提供复印件外均须提供原件，副本可为正本的复印件。</w:t>
      </w:r>
    </w:p>
    <w:p>
      <w:pPr>
        <w:spacing w:line="360" w:lineRule="auto"/>
        <w:ind w:firstLine="472"/>
        <w:rPr>
          <w:rFonts w:ascii="宋体" w:hAnsi="宋体" w:cs="宋体"/>
          <w:b/>
          <w:sz w:val="24"/>
        </w:rPr>
      </w:pPr>
      <w:r>
        <w:rPr>
          <w:rFonts w:ascii="宋体" w:hAnsi="宋体" w:cs="宋体"/>
          <w:b/>
          <w:sz w:val="24"/>
        </w:rPr>
        <w:t>4.投标文件需盖章签字的地方必须由投标人法定代表人或法定代表人的授权委托人签署并加盖单位公章，投标人应写全称。</w:t>
      </w:r>
    </w:p>
    <w:p>
      <w:pPr>
        <w:spacing w:line="360" w:lineRule="auto"/>
        <w:ind w:firstLine="480"/>
        <w:rPr>
          <w:rFonts w:ascii="宋体" w:hAnsi="宋体" w:cs="宋体"/>
          <w:sz w:val="24"/>
        </w:rPr>
      </w:pPr>
      <w:r>
        <w:rPr>
          <w:rFonts w:ascii="宋体" w:hAnsi="宋体" w:cs="宋体"/>
          <w:sz w:val="24"/>
        </w:rPr>
        <w:t>5</w:t>
      </w:r>
      <w:r>
        <w:rPr>
          <w:rFonts w:ascii="宋体" w:hAnsi="宋体" w:cs="宋体"/>
          <w:spacing w:val="-6"/>
          <w:sz w:val="24"/>
        </w:rPr>
        <w:t>.投标文件不得涂改，若有修改错漏处，须加盖单位公章或者法定代表人或授权委托人签字或盖章。投标文件因字迹潦草或表达不清所引起的后果由投标人负责。</w:t>
      </w:r>
    </w:p>
    <w:p>
      <w:pPr>
        <w:spacing w:line="360" w:lineRule="auto"/>
        <w:rPr>
          <w:rFonts w:ascii="宋体" w:hAnsi="宋体" w:cs="宋体"/>
          <w:b/>
          <w:sz w:val="24"/>
        </w:rPr>
      </w:pPr>
      <w:r>
        <w:rPr>
          <w:rFonts w:hint="eastAsia" w:ascii="宋体" w:hAnsi="宋体" w:cs="宋体"/>
          <w:b/>
          <w:sz w:val="24"/>
          <w:lang w:eastAsia="zh-CN"/>
        </w:rPr>
        <w:t>八、</w:t>
      </w:r>
      <w:r>
        <w:rPr>
          <w:rFonts w:ascii="宋体" w:hAnsi="宋体" w:cs="宋体"/>
          <w:b/>
          <w:sz w:val="24"/>
        </w:rPr>
        <w:t>投标文件的装订、包装、递交、修改和撤回</w:t>
      </w:r>
    </w:p>
    <w:p>
      <w:pPr>
        <w:spacing w:line="360" w:lineRule="auto"/>
        <w:ind w:firstLine="480"/>
        <w:rPr>
          <w:rFonts w:ascii="宋体" w:hAnsi="宋体" w:cs="宋体"/>
          <w:sz w:val="24"/>
        </w:rPr>
      </w:pPr>
      <w:r>
        <w:rPr>
          <w:rFonts w:ascii="宋体" w:hAnsi="宋体" w:cs="宋体"/>
          <w:sz w:val="24"/>
        </w:rPr>
        <w:t>1.投标文件的包装和密封</w:t>
      </w:r>
    </w:p>
    <w:p>
      <w:pPr>
        <w:spacing w:line="360" w:lineRule="auto"/>
        <w:ind w:firstLine="480"/>
        <w:rPr>
          <w:rFonts w:ascii="宋体" w:hAnsi="宋体" w:cs="宋体"/>
          <w:sz w:val="24"/>
        </w:rPr>
      </w:pPr>
      <w:r>
        <w:rPr>
          <w:rFonts w:ascii="宋体" w:hAnsi="宋体" w:cs="宋体"/>
          <w:sz w:val="24"/>
        </w:rPr>
        <w:t>1.1投标文件应装订成册，按照投标文件的内容包装密封；</w:t>
      </w:r>
    </w:p>
    <w:p>
      <w:pPr>
        <w:spacing w:line="360" w:lineRule="auto"/>
        <w:ind w:firstLine="480"/>
        <w:rPr>
          <w:rFonts w:hint="eastAsia" w:ascii="宋体" w:hAnsi="宋体" w:eastAsia="宋体" w:cs="宋体"/>
          <w:sz w:val="24"/>
          <w:lang w:eastAsia="zh-CN"/>
        </w:rPr>
      </w:pPr>
      <w:r>
        <w:rPr>
          <w:rFonts w:ascii="宋体" w:hAnsi="宋体" w:cs="宋体"/>
          <w:sz w:val="24"/>
        </w:rPr>
        <w:t>1.2密封包装袋内装投标文件正本1份和副本</w:t>
      </w:r>
      <w:r>
        <w:rPr>
          <w:rFonts w:hint="eastAsia" w:ascii="宋体" w:hAnsi="宋体" w:cs="宋体"/>
          <w:sz w:val="24"/>
          <w:lang w:val="en-US" w:eastAsia="zh-CN"/>
        </w:rPr>
        <w:t>2</w:t>
      </w:r>
      <w:r>
        <w:rPr>
          <w:rFonts w:ascii="宋体" w:hAnsi="宋体" w:cs="宋体"/>
          <w:sz w:val="24"/>
        </w:rPr>
        <w:t>份；</w:t>
      </w:r>
    </w:p>
    <w:p>
      <w:pPr>
        <w:spacing w:line="360" w:lineRule="auto"/>
        <w:ind w:firstLine="480"/>
        <w:rPr>
          <w:rFonts w:ascii="宋体" w:hAnsi="宋体" w:cs="宋体"/>
          <w:sz w:val="24"/>
        </w:rPr>
      </w:pPr>
      <w:r>
        <w:rPr>
          <w:rFonts w:ascii="宋体" w:hAnsi="宋体" w:cs="宋体"/>
          <w:sz w:val="24"/>
        </w:rPr>
        <w:t>1.3密封包装袋封面上应标明“招标编号、投标项目名称、投标文件名称、投标人名称、</w:t>
      </w:r>
      <w:r>
        <w:rPr>
          <w:rFonts w:ascii="宋体" w:hAnsi="宋体" w:cs="宋体"/>
          <w:color w:val="C00000"/>
          <w:sz w:val="24"/>
        </w:rPr>
        <w:t>于2021年</w:t>
      </w:r>
      <w:r>
        <w:rPr>
          <w:rFonts w:hint="eastAsia" w:ascii="宋体" w:hAnsi="宋体" w:cs="宋体"/>
          <w:color w:val="C00000"/>
          <w:sz w:val="24"/>
          <w:lang w:val="en-US" w:eastAsia="zh-CN"/>
        </w:rPr>
        <w:t>11</w:t>
      </w:r>
      <w:r>
        <w:rPr>
          <w:rFonts w:ascii="宋体" w:hAnsi="宋体" w:cs="宋体"/>
          <w:color w:val="C00000"/>
          <w:sz w:val="24"/>
        </w:rPr>
        <w:t>月</w:t>
      </w:r>
      <w:r>
        <w:rPr>
          <w:rFonts w:hint="eastAsia" w:ascii="宋体" w:hAnsi="宋体" w:cs="宋体"/>
          <w:color w:val="C00000"/>
          <w:sz w:val="24"/>
          <w:lang w:val="en-US" w:eastAsia="zh-CN"/>
        </w:rPr>
        <w:t>26</w:t>
      </w:r>
      <w:r>
        <w:rPr>
          <w:rFonts w:ascii="宋体" w:hAnsi="宋体" w:cs="宋体"/>
          <w:color w:val="C00000"/>
          <w:sz w:val="24"/>
        </w:rPr>
        <w:t>日1</w:t>
      </w:r>
      <w:r>
        <w:rPr>
          <w:rFonts w:hint="eastAsia" w:ascii="宋体" w:hAnsi="宋体" w:cs="宋体"/>
          <w:color w:val="C00000"/>
          <w:sz w:val="24"/>
          <w:lang w:val="en-US" w:eastAsia="zh-CN"/>
        </w:rPr>
        <w:t>5</w:t>
      </w:r>
      <w:r>
        <w:rPr>
          <w:rFonts w:ascii="宋体" w:hAnsi="宋体" w:cs="宋体"/>
          <w:color w:val="C00000"/>
          <w:sz w:val="24"/>
        </w:rPr>
        <w:t>时00分前不准启封</w:t>
      </w:r>
      <w:r>
        <w:rPr>
          <w:rFonts w:ascii="宋体" w:hAnsi="宋体" w:cs="宋体"/>
          <w:sz w:val="24"/>
        </w:rPr>
        <w:t>”等，并在各封口骑缝加盖单位公章；</w:t>
      </w:r>
    </w:p>
    <w:p>
      <w:pPr>
        <w:spacing w:line="360" w:lineRule="auto"/>
        <w:ind w:firstLine="480"/>
        <w:rPr>
          <w:rFonts w:ascii="宋体" w:hAnsi="宋体" w:cs="宋体"/>
          <w:sz w:val="24"/>
        </w:rPr>
      </w:pPr>
      <w:r>
        <w:rPr>
          <w:rFonts w:ascii="宋体" w:hAnsi="宋体" w:cs="宋体"/>
          <w:sz w:val="24"/>
        </w:rPr>
        <w:t>2.未按规定密封或标记的投标文件将被拒绝，由此造成投标文件被误投或提前拆封的风险由投标人承担。</w:t>
      </w:r>
    </w:p>
    <w:p>
      <w:pPr>
        <w:spacing w:line="360" w:lineRule="auto"/>
        <w:ind w:firstLine="480"/>
        <w:rPr>
          <w:rFonts w:ascii="宋体" w:hAnsi="宋体" w:cs="宋体"/>
          <w:sz w:val="24"/>
        </w:rPr>
      </w:pPr>
      <w:r>
        <w:rPr>
          <w:rFonts w:ascii="宋体" w:hAnsi="宋体" w:cs="宋体"/>
          <w:sz w:val="24"/>
        </w:rPr>
        <w:t>3.投标人在投标截止时间之前，可以对已提交的投标文件进行修改或撤回，并书面通知招标采购单位；投标截止时间后，投标人不得撤回、修改投标文件。修改后重新递交的投标文件应当按本招标文件的要求签署、盖章和密封。</w:t>
      </w:r>
    </w:p>
    <w:p>
      <w:pPr>
        <w:pStyle w:val="2"/>
        <w:ind w:firstLine="480" w:firstLineChars="200"/>
        <w:rPr>
          <w:rFonts w:hint="default" w:eastAsia="宋体"/>
          <w:lang w:val="en-US" w:eastAsia="zh-CN"/>
        </w:rPr>
      </w:pPr>
      <w:r>
        <w:rPr>
          <w:rFonts w:hint="eastAsia" w:ascii="宋体" w:hAnsi="宋体" w:cs="宋体"/>
          <w:sz w:val="24"/>
          <w:lang w:val="en-US" w:eastAsia="zh-CN"/>
        </w:rPr>
        <w:t>4.样品单独密封，投标文件封密袋与样品密封袋放在同一个快递内邮寄。</w:t>
      </w:r>
    </w:p>
    <w:p>
      <w:pPr>
        <w:spacing w:line="360" w:lineRule="auto"/>
        <w:rPr>
          <w:rFonts w:ascii="宋体" w:hAnsi="宋体" w:cs="宋体"/>
          <w:b/>
          <w:sz w:val="24"/>
        </w:rPr>
      </w:pPr>
      <w:r>
        <w:rPr>
          <w:rFonts w:hint="eastAsia" w:ascii="宋体" w:hAnsi="宋体" w:cs="宋体"/>
          <w:b/>
          <w:sz w:val="24"/>
          <w:lang w:eastAsia="zh-CN"/>
        </w:rPr>
        <w:t>九、</w:t>
      </w:r>
      <w:r>
        <w:rPr>
          <w:rFonts w:ascii="宋体" w:hAnsi="宋体" w:cs="宋体"/>
          <w:b/>
          <w:sz w:val="24"/>
        </w:rPr>
        <w:t>投标无效的情形</w:t>
      </w:r>
    </w:p>
    <w:p>
      <w:pPr>
        <w:spacing w:line="360" w:lineRule="auto"/>
        <w:ind w:firstLine="480"/>
        <w:rPr>
          <w:rFonts w:ascii="宋体" w:hAnsi="宋体" w:cs="宋体"/>
          <w:bCs/>
          <w:sz w:val="24"/>
        </w:rPr>
      </w:pPr>
      <w:r>
        <w:rPr>
          <w:rFonts w:ascii="宋体" w:hAnsi="宋体" w:cs="宋体"/>
          <w:bCs/>
          <w:sz w:val="24"/>
        </w:rPr>
        <w:t>实质上没有响应招标文件要求的投标将被视为无效投标。投标人不得通过修正或撤消不合要求的偏离或保留从而使其投标成为实质上响应的投标，但经评标委员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p>
    <w:p>
      <w:pPr>
        <w:spacing w:line="360" w:lineRule="auto"/>
        <w:ind w:firstLine="472"/>
        <w:rPr>
          <w:rFonts w:cs="宋体"/>
          <w:b/>
          <w:bCs/>
          <w:sz w:val="24"/>
        </w:rPr>
      </w:pPr>
      <w:r>
        <w:rPr>
          <w:rFonts w:cs="宋体"/>
          <w:b/>
          <w:bCs/>
          <w:sz w:val="24"/>
        </w:rPr>
        <w:t>1.在评审时，如发现下列情形之一的，投标文件将被视为无效：</w:t>
      </w:r>
    </w:p>
    <w:p>
      <w:pPr>
        <w:spacing w:line="360" w:lineRule="auto"/>
        <w:ind w:firstLine="480"/>
        <w:rPr>
          <w:rFonts w:cs="宋体"/>
          <w:bCs/>
          <w:sz w:val="24"/>
        </w:rPr>
      </w:pPr>
      <w:r>
        <w:rPr>
          <w:rFonts w:cs="宋体"/>
          <w:bCs/>
          <w:sz w:val="24"/>
        </w:rPr>
        <w:t>（1）未进行报名登记的；</w:t>
      </w:r>
    </w:p>
    <w:p>
      <w:pPr>
        <w:spacing w:line="360" w:lineRule="auto"/>
        <w:ind w:firstLine="480"/>
        <w:rPr>
          <w:rFonts w:cs="宋体"/>
          <w:bCs/>
          <w:sz w:val="24"/>
        </w:rPr>
      </w:pPr>
      <w:r>
        <w:rPr>
          <w:rFonts w:cs="宋体"/>
          <w:bCs/>
          <w:sz w:val="24"/>
        </w:rPr>
        <w:t>（2）投标文件未按招标文件要求密封、包装的；</w:t>
      </w:r>
    </w:p>
    <w:p>
      <w:pPr>
        <w:spacing w:line="360" w:lineRule="auto"/>
        <w:ind w:firstLine="480"/>
        <w:rPr>
          <w:rFonts w:cs="宋体"/>
          <w:bCs/>
          <w:sz w:val="24"/>
        </w:rPr>
      </w:pPr>
      <w:r>
        <w:rPr>
          <w:rFonts w:cs="宋体"/>
          <w:bCs/>
          <w:sz w:val="24"/>
        </w:rPr>
        <w:t>（3）社保不能提供真实性查询证明的；</w:t>
      </w:r>
    </w:p>
    <w:p>
      <w:pPr>
        <w:spacing w:line="360" w:lineRule="auto"/>
        <w:ind w:firstLine="480"/>
        <w:rPr>
          <w:rFonts w:cs="宋体"/>
          <w:bCs/>
          <w:sz w:val="24"/>
        </w:rPr>
      </w:pPr>
      <w:r>
        <w:rPr>
          <w:rFonts w:cs="宋体"/>
          <w:bCs/>
          <w:sz w:val="24"/>
        </w:rPr>
        <w:t>（4）投标文件无法定代表人签字、或未提供法定代表人授权委托书、投标声明书或者填写项目不齐全的；</w:t>
      </w:r>
    </w:p>
    <w:p>
      <w:pPr>
        <w:spacing w:line="360" w:lineRule="auto"/>
        <w:ind w:firstLine="480"/>
        <w:rPr>
          <w:rFonts w:cs="宋体"/>
          <w:bCs/>
          <w:sz w:val="24"/>
        </w:rPr>
      </w:pPr>
      <w:r>
        <w:rPr>
          <w:rFonts w:cs="宋体"/>
          <w:bCs/>
          <w:sz w:val="24"/>
        </w:rPr>
        <w:t>（5）投标文件格式未按招标文件规定格式的、未按招标文件规定的内容编制投标文件的或者内容虚假的、未按规定签字或盖章的；</w:t>
      </w:r>
    </w:p>
    <w:p>
      <w:pPr>
        <w:spacing w:line="360" w:lineRule="auto"/>
        <w:ind w:firstLine="480"/>
        <w:rPr>
          <w:rFonts w:cs="宋体"/>
          <w:bCs/>
          <w:sz w:val="24"/>
        </w:rPr>
      </w:pPr>
      <w:r>
        <w:rPr>
          <w:rFonts w:cs="宋体"/>
          <w:bCs/>
          <w:sz w:val="24"/>
        </w:rPr>
        <w:t>（6）投标文件的实质性内容未使用中文表述的或意思表述不明确、前后矛盾的或者使用计量单位不符合招标文件要求的（经评标委员会认定并允许其当场更正的笔误除外）</w:t>
      </w:r>
    </w:p>
    <w:p>
      <w:pPr>
        <w:spacing w:line="360" w:lineRule="auto"/>
        <w:ind w:firstLine="480"/>
        <w:rPr>
          <w:rFonts w:cs="宋体"/>
          <w:bCs/>
          <w:sz w:val="24"/>
        </w:rPr>
      </w:pPr>
      <w:r>
        <w:rPr>
          <w:rFonts w:cs="宋体"/>
          <w:bCs/>
          <w:sz w:val="24"/>
        </w:rPr>
        <w:t>（7）投标有效期、交货时间、质保期等商务条款不能满足招标文件要求的；</w:t>
      </w:r>
    </w:p>
    <w:p>
      <w:pPr>
        <w:spacing w:line="360" w:lineRule="auto"/>
        <w:ind w:firstLine="480"/>
        <w:rPr>
          <w:rFonts w:cs="宋体"/>
          <w:bCs/>
          <w:sz w:val="24"/>
        </w:rPr>
      </w:pPr>
      <w:r>
        <w:rPr>
          <w:rFonts w:cs="宋体"/>
          <w:bCs/>
          <w:sz w:val="24"/>
        </w:rPr>
        <w:t>（8）未实质性响应招标文件要求或者投标文件有招标方不能接受的附加条件的；</w:t>
      </w:r>
    </w:p>
    <w:p>
      <w:pPr>
        <w:spacing w:line="360" w:lineRule="auto"/>
        <w:ind w:firstLine="480"/>
        <w:rPr>
          <w:rFonts w:cs="宋体"/>
          <w:bCs/>
          <w:sz w:val="24"/>
        </w:rPr>
      </w:pPr>
      <w:r>
        <w:rPr>
          <w:rFonts w:cs="宋体"/>
          <w:bCs/>
          <w:sz w:val="24"/>
        </w:rPr>
        <w:t>（9）投标文件标明的响应或偏离与事实不符的或虚假投标的；</w:t>
      </w:r>
    </w:p>
    <w:p>
      <w:pPr>
        <w:spacing w:line="360" w:lineRule="auto"/>
        <w:ind w:firstLine="480"/>
        <w:rPr>
          <w:rFonts w:cs="宋体"/>
          <w:bCs/>
          <w:sz w:val="24"/>
        </w:rPr>
      </w:pPr>
      <w:r>
        <w:rPr>
          <w:rFonts w:cs="宋体"/>
          <w:bCs/>
          <w:sz w:val="24"/>
        </w:rPr>
        <w:t>（10）明显不符合招标文件质量标准的，或者与招标文件中标有“*</w:t>
      </w:r>
      <w:r>
        <w:rPr>
          <w:rFonts w:ascii="宋体" w:hAnsi="宋体" w:cs="宋体"/>
          <w:bCs/>
          <w:sz w:val="24"/>
        </w:rPr>
        <w:t>”</w:t>
      </w:r>
      <w:r>
        <w:rPr>
          <w:rFonts w:cs="宋体"/>
          <w:bCs/>
          <w:sz w:val="24"/>
        </w:rPr>
        <w:t>、“▲”、“※”、“★”的技术指标、主要功能项目发生实质性偏离的；</w:t>
      </w:r>
    </w:p>
    <w:p>
      <w:pPr>
        <w:spacing w:line="360" w:lineRule="auto"/>
        <w:ind w:firstLine="480"/>
        <w:rPr>
          <w:rFonts w:cs="宋体"/>
          <w:bCs/>
          <w:sz w:val="24"/>
        </w:rPr>
      </w:pPr>
      <w:r>
        <w:rPr>
          <w:rFonts w:cs="宋体"/>
          <w:bCs/>
          <w:sz w:val="24"/>
        </w:rPr>
        <w:t>（11）招标文件中允许偏离的技术、性能指标或者辅助功能发生较大负偏离的，经评标委员会认定对项目实际使用造成影响的；</w:t>
      </w:r>
    </w:p>
    <w:p>
      <w:pPr>
        <w:spacing w:line="360" w:lineRule="auto"/>
        <w:ind w:firstLine="480"/>
        <w:rPr>
          <w:rFonts w:cs="宋体"/>
          <w:bCs/>
          <w:sz w:val="24"/>
        </w:rPr>
      </w:pPr>
      <w:r>
        <w:rPr>
          <w:rFonts w:cs="宋体"/>
          <w:bCs/>
          <w:sz w:val="24"/>
        </w:rPr>
        <w:t>（12）投标技术方案不明确，存在一个或一个以上备选（替代）投标方案的；</w:t>
      </w:r>
    </w:p>
    <w:p>
      <w:pPr>
        <w:spacing w:line="360" w:lineRule="auto"/>
        <w:ind w:firstLine="480"/>
        <w:rPr>
          <w:rFonts w:cs="宋体"/>
          <w:bCs/>
          <w:sz w:val="24"/>
        </w:rPr>
      </w:pPr>
      <w:r>
        <w:rPr>
          <w:rFonts w:cs="宋体"/>
          <w:bCs/>
          <w:sz w:val="24"/>
        </w:rPr>
        <w:t>（13）与其他参加本次投标供应商的投标文件的文字表述内容相同连续20行以上或者差错相同2处以上的；</w:t>
      </w:r>
    </w:p>
    <w:p>
      <w:pPr>
        <w:spacing w:line="360" w:lineRule="auto"/>
        <w:ind w:firstLine="360"/>
        <w:rPr>
          <w:rFonts w:cs="宋体"/>
          <w:bCs/>
          <w:sz w:val="24"/>
        </w:rPr>
      </w:pPr>
      <w:r>
        <w:rPr>
          <w:rFonts w:cs="宋体"/>
          <w:bCs/>
          <w:sz w:val="24"/>
        </w:rPr>
        <w:t>（14）未采用人民币报价或者未按照招标文件标明的币种报价的；</w:t>
      </w:r>
    </w:p>
    <w:p>
      <w:pPr>
        <w:spacing w:line="360" w:lineRule="auto"/>
        <w:ind w:firstLine="360"/>
        <w:rPr>
          <w:rFonts w:cs="宋体"/>
          <w:bCs/>
          <w:sz w:val="24"/>
        </w:rPr>
      </w:pPr>
      <w:r>
        <w:rPr>
          <w:rFonts w:cs="宋体"/>
          <w:bCs/>
          <w:sz w:val="24"/>
        </w:rPr>
        <w:t>（15）投标报价具有选择性的，或者开标价格与投标文件承诺的优惠（折扣）价格不一致的。</w:t>
      </w:r>
    </w:p>
    <w:p>
      <w:pPr>
        <w:spacing w:line="360" w:lineRule="auto"/>
        <w:ind w:firstLine="360"/>
        <w:rPr>
          <w:rFonts w:cs="宋体"/>
          <w:bCs/>
          <w:sz w:val="24"/>
        </w:rPr>
      </w:pPr>
      <w:r>
        <w:rPr>
          <w:rFonts w:cs="宋体"/>
          <w:bCs/>
          <w:sz w:val="24"/>
        </w:rPr>
        <w:t>（16）报价超出用户设定的最高限价的。</w:t>
      </w:r>
    </w:p>
    <w:p>
      <w:pPr>
        <w:spacing w:line="360" w:lineRule="auto"/>
        <w:ind w:firstLine="480"/>
        <w:rPr>
          <w:rFonts w:cs="宋体"/>
          <w:bCs/>
          <w:sz w:val="24"/>
        </w:rPr>
      </w:pPr>
      <w:r>
        <w:rPr>
          <w:rFonts w:cs="宋体"/>
          <w:bCs/>
          <w:sz w:val="24"/>
        </w:rPr>
        <w:t>（17）法律、法规规定的其它投标无效情况。</w:t>
      </w:r>
    </w:p>
    <w:p>
      <w:pPr>
        <w:spacing w:line="360" w:lineRule="auto"/>
        <w:ind w:firstLine="480"/>
        <w:rPr>
          <w:rFonts w:cs="宋体"/>
          <w:bCs/>
          <w:sz w:val="24"/>
        </w:rPr>
      </w:pPr>
      <w:r>
        <w:rPr>
          <w:rFonts w:cs="宋体"/>
          <w:bCs/>
          <w:sz w:val="24"/>
        </w:rPr>
        <w:t>2.被拒绝的投标文件为无效。</w:t>
      </w:r>
    </w:p>
    <w:p>
      <w:pPr>
        <w:spacing w:line="440" w:lineRule="exact"/>
        <w:ind w:firstLine="480" w:firstLineChars="200"/>
        <w:rPr>
          <w:rFonts w:hint="eastAsia" w:ascii="宋体" w:hAnsi="宋体"/>
          <w:b/>
          <w:sz w:val="24"/>
        </w:rPr>
      </w:pPr>
      <w:r>
        <w:rPr>
          <w:rFonts w:cs="宋体"/>
          <w:bCs/>
          <w:sz w:val="24"/>
        </w:rPr>
        <w:t>3.根据有关法律、法规规定为无效、废标的，按法律、法规规定执行。</w:t>
      </w:r>
    </w:p>
    <w:p>
      <w:pPr>
        <w:pStyle w:val="12"/>
        <w:keepNext w:val="0"/>
        <w:keepLines w:val="0"/>
        <w:pageBreakBefore w:val="0"/>
        <w:widowControl w:val="0"/>
        <w:kinsoku/>
        <w:wordWrap/>
        <w:overflowPunct/>
        <w:topLinePunct w:val="0"/>
        <w:autoSpaceDE/>
        <w:autoSpaceDN/>
        <w:bidi w:val="0"/>
        <w:adjustRightInd/>
        <w:snapToGrid w:val="0"/>
        <w:spacing w:beforeLines="0" w:afterLines="0" w:line="440" w:lineRule="exact"/>
        <w:textAlignment w:val="auto"/>
        <w:rPr>
          <w:rFonts w:hint="eastAsia" w:hAnsi="宋体"/>
          <w:bCs/>
          <w:color w:val="auto"/>
          <w:highlight w:val="none"/>
        </w:rPr>
      </w:pPr>
      <w:r>
        <w:rPr>
          <w:rFonts w:hint="eastAsia" w:hAnsi="宋体"/>
          <w:b/>
          <w:bCs w:val="0"/>
          <w:color w:val="auto"/>
          <w:highlight w:val="none"/>
          <w:lang w:eastAsia="zh-CN"/>
        </w:rPr>
        <w:t>十、</w:t>
      </w:r>
      <w:r>
        <w:rPr>
          <w:rFonts w:hint="eastAsia" w:hAnsi="宋体"/>
          <w:b/>
          <w:bCs w:val="0"/>
          <w:color w:val="auto"/>
          <w:highlight w:val="none"/>
        </w:rPr>
        <w:t>特殊情况处理</w:t>
      </w:r>
    </w:p>
    <w:p>
      <w:pPr>
        <w:pStyle w:val="3"/>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kern w:val="0"/>
          <w:sz w:val="24"/>
          <w:szCs w:val="20"/>
          <w:lang w:val="en-US" w:eastAsia="zh-CN" w:bidi="ar-SA"/>
        </w:rPr>
      </w:pPr>
      <w:r>
        <w:rPr>
          <w:rFonts w:hint="eastAsia" w:ascii="宋体" w:hAnsi="宋体" w:eastAsia="宋体" w:cs="宋体"/>
          <w:kern w:val="0"/>
          <w:sz w:val="24"/>
          <w:szCs w:val="20"/>
          <w:lang w:val="en-US" w:eastAsia="zh-CN" w:bidi="ar-SA"/>
        </w:rPr>
        <w:t>投标文件评审期间采购响应（指投标或谈判、报价，下同），出现有效供应商不足3家的，经</w:t>
      </w:r>
      <w:r>
        <w:rPr>
          <w:rFonts w:hint="eastAsia" w:ascii="宋体" w:hAnsi="宋体" w:cs="宋体"/>
          <w:kern w:val="0"/>
          <w:sz w:val="24"/>
          <w:szCs w:val="20"/>
          <w:lang w:val="en-US" w:eastAsia="zh-CN" w:bidi="ar-SA"/>
        </w:rPr>
        <w:t>学校</w:t>
      </w:r>
      <w:r>
        <w:rPr>
          <w:rFonts w:hint="eastAsia" w:ascii="宋体" w:hAnsi="宋体" w:eastAsia="宋体" w:cs="宋体"/>
          <w:kern w:val="0"/>
          <w:sz w:val="24"/>
          <w:szCs w:val="20"/>
          <w:lang w:val="en-US" w:eastAsia="zh-CN" w:bidi="ar-SA"/>
        </w:rPr>
        <w:t>同意，可以按原采购方式继续进行采购活动</w:t>
      </w:r>
      <w:r>
        <w:rPr>
          <w:rFonts w:hint="eastAsia" w:ascii="宋体" w:hAnsi="宋体" w:cs="宋体"/>
          <w:kern w:val="0"/>
          <w:sz w:val="24"/>
          <w:szCs w:val="20"/>
          <w:lang w:val="en-US" w:eastAsia="zh-CN" w:bidi="ar-SA"/>
        </w:rPr>
        <w:t>；</w:t>
      </w:r>
      <w:r>
        <w:rPr>
          <w:rFonts w:hint="eastAsia" w:ascii="宋体" w:hAnsi="宋体" w:eastAsia="宋体" w:cs="宋体"/>
          <w:kern w:val="0"/>
          <w:sz w:val="24"/>
          <w:szCs w:val="20"/>
          <w:lang w:val="en-US" w:eastAsia="zh-CN" w:bidi="ar-SA"/>
        </w:rPr>
        <w:t>出现有效供应商</w:t>
      </w:r>
      <w:r>
        <w:rPr>
          <w:rFonts w:hint="eastAsia" w:ascii="宋体" w:hAnsi="宋体" w:cs="宋体"/>
          <w:kern w:val="0"/>
          <w:sz w:val="24"/>
          <w:szCs w:val="20"/>
          <w:lang w:val="en-US" w:eastAsia="zh-CN" w:bidi="ar-SA"/>
        </w:rPr>
        <w:t>只有1</w:t>
      </w:r>
      <w:r>
        <w:rPr>
          <w:rFonts w:hint="eastAsia" w:ascii="宋体" w:hAnsi="宋体" w:eastAsia="宋体" w:cs="宋体"/>
          <w:kern w:val="0"/>
          <w:sz w:val="24"/>
          <w:szCs w:val="20"/>
          <w:lang w:val="en-US" w:eastAsia="zh-CN" w:bidi="ar-SA"/>
        </w:rPr>
        <w:t>家的</w:t>
      </w:r>
      <w:r>
        <w:rPr>
          <w:rFonts w:hint="eastAsia" w:ascii="宋体" w:hAnsi="宋体" w:cs="宋体"/>
          <w:kern w:val="0"/>
          <w:sz w:val="24"/>
          <w:szCs w:val="20"/>
          <w:lang w:val="en-US" w:eastAsia="zh-CN" w:bidi="ar-SA"/>
        </w:rPr>
        <w:t>更改为单一来源采购；</w:t>
      </w:r>
      <w:r>
        <w:rPr>
          <w:rFonts w:hint="eastAsia" w:ascii="宋体" w:hAnsi="宋体" w:eastAsia="宋体" w:cs="宋体"/>
          <w:kern w:val="0"/>
          <w:sz w:val="24"/>
          <w:szCs w:val="20"/>
          <w:lang w:val="en-US" w:eastAsia="zh-CN" w:bidi="ar-SA"/>
        </w:rPr>
        <w:t>更改采购方式时，原评标委员会所有成员，单一来源采购的谈判小组成员。</w:t>
      </w:r>
    </w:p>
    <w:p>
      <w:pPr>
        <w:pStyle w:val="44"/>
        <w:snapToGrid w:val="0"/>
        <w:spacing w:line="360" w:lineRule="auto"/>
        <w:ind w:firstLine="480"/>
        <w:rPr>
          <w:rFonts w:cs="宋体"/>
          <w:bCs/>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5"/>
        <w:keepNext w:val="0"/>
        <w:keepLines w:val="0"/>
        <w:pageBreakBefore/>
        <w:spacing w:line="415" w:lineRule="auto"/>
        <w:jc w:val="center"/>
        <w:rPr>
          <w:rFonts w:ascii="宋体" w:hAnsi="宋体" w:cs="宋体"/>
          <w:sz w:val="32"/>
          <w:szCs w:val="32"/>
        </w:rPr>
      </w:pPr>
      <w:bookmarkStart w:id="7" w:name="_Toc31127"/>
      <w:bookmarkStart w:id="8" w:name="_Toc29622"/>
      <w:r>
        <w:rPr>
          <w:rFonts w:hint="eastAsia" w:ascii="宋体" w:hAnsi="宋体" w:cs="宋体"/>
          <w:sz w:val="32"/>
          <w:szCs w:val="32"/>
        </w:rPr>
        <w:t>第五章 谈判方法和程序</w:t>
      </w:r>
      <w:bookmarkEnd w:id="7"/>
      <w:bookmarkEnd w:id="8"/>
    </w:p>
    <w:p>
      <w:pPr>
        <w:spacing w:line="360" w:lineRule="auto"/>
        <w:rPr>
          <w:rFonts w:ascii="宋体" w:hAnsi="宋体" w:cs="宋体"/>
          <w:b/>
          <w:sz w:val="24"/>
        </w:rPr>
      </w:pPr>
      <w:r>
        <w:rPr>
          <w:rFonts w:hint="eastAsia" w:ascii="宋体" w:hAnsi="宋体" w:cs="宋体"/>
          <w:b/>
          <w:sz w:val="24"/>
        </w:rPr>
        <w:t>一</w:t>
      </w:r>
      <w:r>
        <w:rPr>
          <w:rFonts w:hint="eastAsia" w:ascii="宋体" w:hAnsi="宋体" w:cs="宋体"/>
          <w:sz w:val="24"/>
        </w:rPr>
        <w:t>、</w:t>
      </w:r>
      <w:r>
        <w:rPr>
          <w:rFonts w:hint="eastAsia" w:ascii="宋体" w:hAnsi="宋体" w:cs="宋体"/>
          <w:b/>
          <w:sz w:val="24"/>
        </w:rPr>
        <w:t>开标准备</w:t>
      </w:r>
    </w:p>
    <w:p>
      <w:pPr>
        <w:spacing w:line="360" w:lineRule="auto"/>
        <w:ind w:firstLine="480" w:firstLineChars="200"/>
        <w:rPr>
          <w:rFonts w:ascii="宋体" w:hAnsi="宋体" w:cs="宋体"/>
          <w:bCs/>
          <w:strike/>
          <w:sz w:val="24"/>
        </w:rPr>
      </w:pPr>
      <w:r>
        <w:rPr>
          <w:rFonts w:hint="eastAsia" w:ascii="宋体" w:hAnsi="宋体" w:cs="宋体"/>
          <w:bCs/>
          <w:sz w:val="24"/>
        </w:rPr>
        <w:t>将在规定的时间和地点进行电子开标，谈判响应方的法定代表人或其委托代理人【委托代理人应当是谈判响应方的在职正式职工】应做好谈判响应准备，准时在线参加电子开标会议，随时关注开标进度。</w:t>
      </w:r>
    </w:p>
    <w:p>
      <w:pPr>
        <w:spacing w:line="360" w:lineRule="auto"/>
        <w:rPr>
          <w:rFonts w:ascii="宋体" w:hAnsi="宋体" w:cs="宋体"/>
          <w:b/>
          <w:sz w:val="24"/>
        </w:rPr>
      </w:pPr>
      <w:r>
        <w:rPr>
          <w:rFonts w:hint="eastAsia" w:ascii="宋体" w:hAnsi="宋体" w:cs="宋体"/>
          <w:b/>
          <w:sz w:val="24"/>
        </w:rPr>
        <w:t>二、谈判小组</w:t>
      </w:r>
    </w:p>
    <w:p>
      <w:pPr>
        <w:spacing w:line="360" w:lineRule="auto"/>
        <w:ind w:firstLine="480" w:firstLineChars="200"/>
        <w:rPr>
          <w:rFonts w:ascii="宋体" w:hAnsi="宋体" w:cs="宋体"/>
          <w:sz w:val="24"/>
        </w:rPr>
      </w:pPr>
      <w:r>
        <w:rPr>
          <w:rFonts w:hint="eastAsia" w:ascii="宋体" w:hAnsi="宋体" w:cs="宋体"/>
          <w:sz w:val="24"/>
        </w:rPr>
        <w:t>我校将根据谈判项目的特点依法组建谈判小组，人员由学校评审专家</w:t>
      </w:r>
      <w:r>
        <w:rPr>
          <w:rFonts w:ascii="宋体" w:hAnsi="宋体" w:cs="宋体"/>
          <w:sz w:val="24"/>
          <w:u w:val="single"/>
        </w:rPr>
        <w:t>2</w:t>
      </w:r>
      <w:r>
        <w:rPr>
          <w:rFonts w:hint="eastAsia" w:ascii="宋体" w:hAnsi="宋体" w:cs="宋体"/>
          <w:sz w:val="24"/>
        </w:rPr>
        <w:t>人和采购部门代表</w:t>
      </w:r>
      <w:r>
        <w:rPr>
          <w:rFonts w:hint="eastAsia" w:ascii="宋体" w:hAnsi="宋体" w:cs="宋体"/>
          <w:sz w:val="24"/>
          <w:u w:val="single"/>
        </w:rPr>
        <w:t>1</w:t>
      </w:r>
      <w:r>
        <w:rPr>
          <w:rFonts w:hint="eastAsia" w:ascii="宋体" w:hAnsi="宋体" w:cs="宋体"/>
          <w:sz w:val="24"/>
        </w:rPr>
        <w:t>人,共</w:t>
      </w:r>
      <w:r>
        <w:rPr>
          <w:rFonts w:ascii="宋体" w:hAnsi="宋体" w:cs="宋体"/>
          <w:sz w:val="24"/>
          <w:u w:val="single"/>
        </w:rPr>
        <w:t>3</w:t>
      </w:r>
      <w:r>
        <w:rPr>
          <w:rFonts w:hint="eastAsia" w:ascii="宋体" w:hAnsi="宋体" w:cs="宋体"/>
          <w:sz w:val="24"/>
        </w:rPr>
        <w:t>人组成（允许采购人不推荐采购人代表参加，如采购人不推荐采购人代表参加评审时，谈判小组（</w:t>
      </w:r>
      <w:r>
        <w:rPr>
          <w:rFonts w:ascii="宋体" w:hAnsi="宋体" w:cs="宋体"/>
          <w:sz w:val="24"/>
        </w:rPr>
        <w:t>3</w:t>
      </w:r>
      <w:r>
        <w:rPr>
          <w:rFonts w:hint="eastAsia" w:ascii="宋体" w:hAnsi="宋体" w:cs="宋体"/>
          <w:sz w:val="24"/>
        </w:rPr>
        <w:t>人）都从评标专家库中抽取），其成员从采购人和政采购评审的具有技术、商务等方面专长的专家库中通过随机方式抽取组成谈判小组,将对谈判响应文件进行审查、质疑、评估和比较。</w:t>
      </w:r>
    </w:p>
    <w:p>
      <w:pPr>
        <w:spacing w:line="360" w:lineRule="auto"/>
        <w:rPr>
          <w:rFonts w:ascii="宋体" w:hAnsi="宋体" w:cs="宋体"/>
          <w:b/>
          <w:sz w:val="24"/>
        </w:rPr>
      </w:pPr>
      <w:r>
        <w:rPr>
          <w:rFonts w:hint="eastAsia" w:ascii="宋体" w:hAnsi="宋体" w:cs="宋体"/>
          <w:b/>
          <w:sz w:val="24"/>
        </w:rPr>
        <w:t>三、谈判评审原则与方法</w:t>
      </w:r>
    </w:p>
    <w:p>
      <w:pPr>
        <w:spacing w:line="360" w:lineRule="auto"/>
        <w:ind w:firstLine="480" w:firstLineChars="200"/>
        <w:rPr>
          <w:rFonts w:ascii="宋体" w:hAnsi="宋体"/>
          <w:sz w:val="24"/>
        </w:rPr>
      </w:pPr>
      <w:r>
        <w:rPr>
          <w:rFonts w:hint="eastAsia" w:ascii="宋体" w:hAnsi="宋体"/>
          <w:sz w:val="24"/>
        </w:rPr>
        <w:t>1、依照《中华人民共和国政府采购法》、《中华人民共和国政府采购法实施条例》、《政府采购货物和服务招投标管理办法》、《政府采购非招标采购方式管理办法》（财政部第74号令）、《浙江省财政厅关于印发浙江省政府采购项目电子交易管理暂行办法的通知》以及政府采购的特殊性确定谈判方法，并遵循公开、公平、公正的原则，谈判小组对谈判响应方提供的技术性能、售后服务、资信情况、履约能力等进行综合分析考评。</w:t>
      </w:r>
    </w:p>
    <w:p>
      <w:pPr>
        <w:spacing w:line="360" w:lineRule="auto"/>
        <w:rPr>
          <w:rFonts w:ascii="宋体" w:hAnsi="宋体"/>
          <w:sz w:val="24"/>
        </w:rPr>
      </w:pPr>
      <w:r>
        <w:rPr>
          <w:rFonts w:hint="eastAsia" w:ascii="宋体" w:hAnsi="宋体"/>
          <w:sz w:val="24"/>
        </w:rPr>
        <w:t xml:space="preserve">    2、客观公正的对待所有谈判响应方，对所有谈判评价，均采用相同的程序和标准。在谈判期间，谈判响应方不得向谈判小组成员询问谈判情况，不得进行旨在影响谈判结果的活动。否则将废除其参加谈判资格。</w:t>
      </w:r>
    </w:p>
    <w:p>
      <w:pPr>
        <w:spacing w:line="360" w:lineRule="auto"/>
        <w:ind w:firstLine="480" w:firstLineChars="200"/>
        <w:rPr>
          <w:rFonts w:ascii="宋体" w:hAnsi="宋体"/>
          <w:sz w:val="24"/>
        </w:rPr>
      </w:pPr>
      <w:r>
        <w:rPr>
          <w:rFonts w:hint="eastAsia" w:ascii="宋体" w:hAnsi="宋体"/>
          <w:sz w:val="24"/>
        </w:rPr>
        <w:t>3、在谈判过程中，谈判小组成员不得与谈判响应方私下交换意见，在谈判工作结束后，凡与谈判情况有接触的任何人不得将谈判情况扩散出谈判小组成员之外。</w:t>
      </w:r>
    </w:p>
    <w:p>
      <w:pPr>
        <w:spacing w:line="360" w:lineRule="auto"/>
        <w:ind w:firstLine="480" w:firstLineChars="200"/>
        <w:rPr>
          <w:rFonts w:ascii="宋体" w:hAnsi="宋体"/>
          <w:sz w:val="24"/>
        </w:rPr>
      </w:pPr>
      <w:r>
        <w:rPr>
          <w:rFonts w:hint="eastAsia" w:ascii="宋体" w:hAnsi="宋体"/>
          <w:sz w:val="24"/>
        </w:rPr>
        <w:t>4、谈判小组不向落标方解释落标原因，不退还谈判响应文件。</w:t>
      </w:r>
    </w:p>
    <w:p>
      <w:pPr>
        <w:spacing w:line="360" w:lineRule="auto"/>
        <w:ind w:firstLine="480" w:firstLineChars="200"/>
        <w:rPr>
          <w:rFonts w:ascii="宋体" w:hAnsi="宋体"/>
          <w:sz w:val="24"/>
        </w:rPr>
      </w:pPr>
      <w:r>
        <w:rPr>
          <w:rFonts w:hint="eastAsia" w:ascii="宋体" w:hAnsi="宋体"/>
          <w:sz w:val="24"/>
        </w:rPr>
        <w:t>5、审查谈判响应文件时，</w:t>
      </w:r>
      <w:r>
        <w:rPr>
          <w:rFonts w:hint="eastAsia" w:ascii="宋体" w:hAnsi="宋体"/>
          <w:sz w:val="24"/>
          <w:lang w:eastAsia="zh-CN"/>
        </w:rPr>
        <w:t>投标文件</w:t>
      </w:r>
      <w:r>
        <w:rPr>
          <w:rFonts w:hint="eastAsia" w:ascii="宋体" w:hAnsi="宋体"/>
          <w:sz w:val="24"/>
        </w:rPr>
        <w:t>未做出实质性响应处理，作无效标处理；</w:t>
      </w:r>
    </w:p>
    <w:p>
      <w:pPr>
        <w:spacing w:line="360" w:lineRule="auto"/>
        <w:ind w:firstLine="480" w:firstLineChars="200"/>
        <w:rPr>
          <w:rFonts w:ascii="宋体" w:hAnsi="宋体"/>
          <w:b/>
          <w:i/>
          <w:sz w:val="24"/>
        </w:rPr>
      </w:pPr>
      <w:r>
        <w:rPr>
          <w:rFonts w:hint="eastAsia" w:ascii="宋体" w:hAnsi="宋体"/>
          <w:sz w:val="24"/>
        </w:rPr>
        <w:t>6、本次谈判经谈判小组审核后，</w:t>
      </w:r>
      <w:r>
        <w:rPr>
          <w:rFonts w:hint="eastAsia" w:ascii="宋体" w:hAnsi="宋体"/>
          <w:sz w:val="24"/>
          <w:lang w:eastAsia="zh-CN"/>
        </w:rPr>
        <w:t>投标文件</w:t>
      </w:r>
      <w:r>
        <w:rPr>
          <w:rFonts w:hint="eastAsia" w:ascii="宋体" w:hAnsi="宋体"/>
          <w:sz w:val="24"/>
        </w:rPr>
        <w:t>实质性响应的响应方进入谈判</w:t>
      </w:r>
      <w:r>
        <w:rPr>
          <w:rFonts w:hint="eastAsia" w:ascii="宋体" w:hAnsi="宋体"/>
          <w:bCs/>
          <w:sz w:val="24"/>
        </w:rPr>
        <w:t>程序，进行报价部分的谈判。</w:t>
      </w:r>
    </w:p>
    <w:p>
      <w:pPr>
        <w:spacing w:line="360" w:lineRule="auto"/>
        <w:ind w:firstLine="482" w:firstLineChars="200"/>
        <w:rPr>
          <w:rFonts w:ascii="宋体" w:hAnsi="宋体"/>
          <w:b/>
          <w:bCs/>
          <w:sz w:val="24"/>
        </w:rPr>
      </w:pPr>
      <w:r>
        <w:rPr>
          <w:rFonts w:hint="eastAsia" w:ascii="宋体" w:hAnsi="宋体"/>
          <w:b/>
          <w:bCs/>
          <w:sz w:val="24"/>
        </w:rPr>
        <w:t>7、进行谈判，最后一次报价时所有谈判响应方同时提供最终报价，评判价格以最后一次有效报价为准</w:t>
      </w:r>
      <w:r>
        <w:rPr>
          <w:rFonts w:ascii="宋体" w:hAnsi="宋体"/>
          <w:b/>
          <w:bCs/>
          <w:sz w:val="24"/>
        </w:rPr>
        <w:t>，</w:t>
      </w:r>
      <w:r>
        <w:rPr>
          <w:rFonts w:hint="eastAsia" w:ascii="宋体" w:hAnsi="宋体"/>
          <w:b/>
          <w:bCs/>
          <w:sz w:val="24"/>
        </w:rPr>
        <w:t>报价</w:t>
      </w:r>
      <w:r>
        <w:rPr>
          <w:rFonts w:ascii="宋体" w:hAnsi="宋体"/>
          <w:b/>
          <w:bCs/>
          <w:sz w:val="24"/>
        </w:rPr>
        <w:t>不少于</w:t>
      </w:r>
      <w:r>
        <w:rPr>
          <w:rFonts w:hint="eastAsia" w:ascii="宋体" w:hAnsi="宋体"/>
          <w:b/>
          <w:bCs/>
          <w:sz w:val="24"/>
        </w:rPr>
        <w:t>两轮。</w:t>
      </w:r>
    </w:p>
    <w:p>
      <w:pPr>
        <w:spacing w:line="360" w:lineRule="auto"/>
        <w:ind w:firstLine="480" w:firstLineChars="200"/>
        <w:rPr>
          <w:rFonts w:ascii="宋体" w:hAnsi="宋体" w:cs="宋体"/>
          <w:b/>
          <w:sz w:val="24"/>
        </w:rPr>
      </w:pPr>
      <w:r>
        <w:rPr>
          <w:rFonts w:hint="eastAsia" w:ascii="宋体" w:hAnsi="宋体"/>
          <w:bCs/>
          <w:sz w:val="24"/>
        </w:rPr>
        <w:t>8、谈判小组根据谈判响应方的最终有效报价，确定最低有效报价者为中标候选单位。</w:t>
      </w:r>
    </w:p>
    <w:p>
      <w:pPr>
        <w:numPr>
          <w:ilvl w:val="0"/>
          <w:numId w:val="5"/>
        </w:numPr>
        <w:spacing w:line="360" w:lineRule="auto"/>
        <w:rPr>
          <w:rFonts w:ascii="宋体" w:hAnsi="宋体" w:cs="宋体"/>
          <w:b/>
          <w:sz w:val="24"/>
        </w:rPr>
      </w:pPr>
      <w:r>
        <w:rPr>
          <w:rFonts w:hint="eastAsia" w:ascii="宋体" w:hAnsi="宋体" w:cs="宋体"/>
          <w:b/>
          <w:sz w:val="24"/>
        </w:rPr>
        <w:t>谈判程序</w:t>
      </w:r>
    </w:p>
    <w:p>
      <w:pPr>
        <w:spacing w:line="360" w:lineRule="auto"/>
        <w:ind w:firstLine="480" w:firstLineChars="200"/>
        <w:rPr>
          <w:rFonts w:ascii="宋体" w:hAnsi="宋体" w:cs="宋体"/>
          <w:bCs/>
          <w:sz w:val="24"/>
        </w:rPr>
      </w:pPr>
      <w:r>
        <w:rPr>
          <w:rFonts w:hint="eastAsia" w:ascii="宋体" w:hAnsi="宋体" w:cs="宋体"/>
          <w:bCs/>
          <w:sz w:val="24"/>
        </w:rPr>
        <w:t>1.开标会由</w:t>
      </w:r>
      <w:r>
        <w:rPr>
          <w:rFonts w:hint="eastAsia" w:ascii="宋体" w:hAnsi="宋体" w:cs="宋体"/>
          <w:sz w:val="24"/>
        </w:rPr>
        <w:t>采购人</w:t>
      </w:r>
      <w:r>
        <w:rPr>
          <w:rFonts w:hint="eastAsia" w:ascii="宋体" w:hAnsi="宋体" w:cs="宋体"/>
          <w:bCs/>
          <w:sz w:val="24"/>
        </w:rPr>
        <w:t>主持，主持人宣布谈判开始；</w:t>
      </w:r>
    </w:p>
    <w:p>
      <w:pPr>
        <w:spacing w:line="360" w:lineRule="auto"/>
        <w:ind w:firstLine="480" w:firstLineChars="200"/>
        <w:rPr>
          <w:rFonts w:ascii="宋体" w:hAnsi="宋体" w:cs="宋体"/>
          <w:bCs/>
          <w:sz w:val="24"/>
        </w:rPr>
      </w:pPr>
      <w:r>
        <w:rPr>
          <w:rFonts w:hint="eastAsia" w:ascii="宋体" w:hAnsi="宋体" w:cs="宋体"/>
          <w:bCs/>
          <w:sz w:val="24"/>
        </w:rPr>
        <w:t xml:space="preserve">2.主持人介绍参加开评标的人员名单； </w:t>
      </w:r>
    </w:p>
    <w:p>
      <w:pPr>
        <w:spacing w:line="360" w:lineRule="auto"/>
        <w:ind w:firstLine="480" w:firstLineChars="200"/>
      </w:pPr>
      <w:r>
        <w:rPr>
          <w:rFonts w:hint="eastAsia" w:ascii="宋体" w:hAnsi="宋体" w:cs="宋体"/>
          <w:bCs/>
          <w:sz w:val="24"/>
        </w:rPr>
        <w:t>3.主持人宣布评标会议纪律及评标期间的有关事项；告知应当回避的情形,提请有关人员回避；</w:t>
      </w:r>
    </w:p>
    <w:p>
      <w:pPr>
        <w:spacing w:line="360" w:lineRule="auto"/>
        <w:ind w:firstLine="480" w:firstLineChars="200"/>
        <w:rPr>
          <w:rFonts w:ascii="宋体"/>
          <w:sz w:val="24"/>
        </w:rPr>
      </w:pPr>
      <w:r>
        <w:rPr>
          <w:rFonts w:hint="eastAsia" w:ascii="宋体"/>
          <w:sz w:val="24"/>
        </w:rPr>
        <w:t>4.谈判及评审程序</w:t>
      </w:r>
    </w:p>
    <w:p>
      <w:pPr>
        <w:spacing w:line="360" w:lineRule="auto"/>
        <w:ind w:firstLine="480" w:firstLineChars="200"/>
        <w:rPr>
          <w:rFonts w:ascii="宋体" w:hAnsi="宋体" w:cs="宋体"/>
          <w:sz w:val="24"/>
        </w:rPr>
      </w:pPr>
      <w:r>
        <w:rPr>
          <w:rFonts w:hint="eastAsia" w:ascii="宋体" w:hAnsi="宋体" w:cs="宋体"/>
          <w:sz w:val="24"/>
        </w:rPr>
        <w:t>4.1由采购人进行资格审查；</w:t>
      </w:r>
    </w:p>
    <w:p>
      <w:pPr>
        <w:spacing w:line="360" w:lineRule="auto"/>
        <w:ind w:left="479" w:leftChars="228"/>
        <w:rPr>
          <w:rFonts w:ascii="宋体"/>
          <w:sz w:val="24"/>
        </w:rPr>
      </w:pPr>
      <w:r>
        <w:rPr>
          <w:rFonts w:hint="eastAsia" w:ascii="宋体" w:hAnsi="宋体" w:cs="宋体"/>
          <w:sz w:val="24"/>
        </w:rPr>
        <w:t>4.2</w:t>
      </w:r>
      <w:r>
        <w:rPr>
          <w:rFonts w:hint="eastAsia" w:ascii="宋体"/>
          <w:sz w:val="24"/>
        </w:rPr>
        <w:t>谈判小组审核谈判文件。</w:t>
      </w:r>
    </w:p>
    <w:p>
      <w:pPr>
        <w:spacing w:line="360" w:lineRule="auto"/>
        <w:ind w:firstLine="480" w:firstLineChars="200"/>
        <w:rPr>
          <w:rFonts w:ascii="宋体"/>
          <w:sz w:val="24"/>
        </w:rPr>
      </w:pPr>
      <w:r>
        <w:rPr>
          <w:rFonts w:hint="eastAsia" w:ascii="宋体"/>
          <w:sz w:val="24"/>
        </w:rPr>
        <w:t>（1）谈判响应方所提供的服务是否满足采购要求；</w:t>
      </w:r>
    </w:p>
    <w:p>
      <w:pPr>
        <w:spacing w:line="360" w:lineRule="auto"/>
        <w:ind w:firstLine="480" w:firstLineChars="200"/>
        <w:rPr>
          <w:rFonts w:ascii="宋体"/>
          <w:sz w:val="24"/>
        </w:rPr>
      </w:pPr>
      <w:r>
        <w:rPr>
          <w:rFonts w:hint="eastAsia" w:ascii="宋体"/>
          <w:sz w:val="24"/>
        </w:rPr>
        <w:t>（2）资信情况、履约能力；</w:t>
      </w:r>
    </w:p>
    <w:p>
      <w:pPr>
        <w:pStyle w:val="2"/>
        <w:spacing w:line="360" w:lineRule="auto"/>
        <w:ind w:firstLine="480" w:firstLineChars="200"/>
      </w:pPr>
      <w:r>
        <w:rPr>
          <w:rFonts w:hint="eastAsia" w:ascii="宋体"/>
          <w:sz w:val="24"/>
        </w:rPr>
        <w:t>（3）谈判文件规定的其他相关要求。</w:t>
      </w:r>
    </w:p>
    <w:p>
      <w:pPr>
        <w:spacing w:line="360" w:lineRule="auto"/>
        <w:ind w:firstLine="480" w:firstLineChars="200"/>
        <w:rPr>
          <w:rFonts w:ascii="宋体"/>
          <w:sz w:val="24"/>
        </w:rPr>
      </w:pPr>
      <w:r>
        <w:rPr>
          <w:rFonts w:hint="eastAsia" w:ascii="宋体"/>
          <w:sz w:val="24"/>
        </w:rPr>
        <w:t>4.3依据谈判文件的规定，从谈判响应文件的有效性、完整性和对谈判文件的响应程度进行审查，以确定是否对谈判文件的实质性要求做出响应。</w:t>
      </w:r>
    </w:p>
    <w:p>
      <w:pPr>
        <w:spacing w:line="360" w:lineRule="auto"/>
        <w:ind w:firstLine="480" w:firstLineChars="200"/>
        <w:rPr>
          <w:rFonts w:ascii="宋体" w:hAnsi="宋体" w:cs="宋体"/>
          <w:kern w:val="0"/>
          <w:sz w:val="24"/>
        </w:rPr>
      </w:pPr>
      <w:r>
        <w:rPr>
          <w:rFonts w:hint="eastAsia" w:ascii="宋体" w:hAnsi="宋体" w:cs="宋体"/>
          <w:kern w:val="0"/>
          <w:sz w:val="24"/>
        </w:rPr>
        <w:t>4.4 谈判小组汇总并讨论审核情况，根据技术参考内容，确定</w:t>
      </w:r>
      <w:r>
        <w:rPr>
          <w:rFonts w:hint="eastAsia" w:ascii="宋体" w:hAnsi="宋体" w:cs="宋体"/>
          <w:kern w:val="0"/>
          <w:sz w:val="24"/>
          <w:lang w:eastAsia="zh-CN"/>
        </w:rPr>
        <w:t>投标文件</w:t>
      </w:r>
      <w:r>
        <w:rPr>
          <w:rFonts w:hint="eastAsia" w:ascii="宋体" w:hAnsi="宋体" w:cs="宋体"/>
          <w:kern w:val="0"/>
          <w:sz w:val="24"/>
        </w:rPr>
        <w:t>通过符合性审查的谈判响应方。</w:t>
      </w:r>
    </w:p>
    <w:p>
      <w:pPr>
        <w:pStyle w:val="2"/>
        <w:ind w:firstLine="240"/>
      </w:pPr>
      <w:r>
        <w:rPr>
          <w:rFonts w:hint="eastAsia" w:ascii="宋体" w:hAnsi="宋体" w:cs="宋体"/>
          <w:kern w:val="0"/>
          <w:sz w:val="24"/>
        </w:rPr>
        <w:t xml:space="preserve">  4.5开启报价文件</w:t>
      </w:r>
    </w:p>
    <w:p>
      <w:pPr>
        <w:spacing w:line="360" w:lineRule="auto"/>
        <w:ind w:firstLine="480" w:firstLineChars="200"/>
        <w:rPr>
          <w:rFonts w:ascii="宋体" w:hAnsi="宋体" w:cs="宋体"/>
          <w:kern w:val="0"/>
          <w:sz w:val="27"/>
          <w:szCs w:val="27"/>
        </w:rPr>
      </w:pPr>
      <w:r>
        <w:rPr>
          <w:rFonts w:hint="eastAsia" w:ascii="宋体" w:hAnsi="宋体" w:cs="宋体"/>
          <w:kern w:val="0"/>
          <w:sz w:val="24"/>
        </w:rPr>
        <w:t>4.6谈判小组</w:t>
      </w:r>
      <w:r>
        <w:rPr>
          <w:rFonts w:hint="eastAsia" w:ascii="宋体" w:hAnsi="宋体" w:cs="宋体"/>
          <w:kern w:val="0"/>
          <w:sz w:val="24"/>
          <w:lang w:eastAsia="zh-CN"/>
        </w:rPr>
        <w:t>对投标文件</w:t>
      </w:r>
      <w:r>
        <w:rPr>
          <w:rFonts w:hint="eastAsia" w:ascii="宋体" w:hAnsi="宋体" w:cs="宋体"/>
          <w:kern w:val="0"/>
          <w:sz w:val="24"/>
        </w:rPr>
        <w:t>通过审</w:t>
      </w:r>
      <w:bookmarkStart w:id="28" w:name="_GoBack"/>
      <w:bookmarkEnd w:id="28"/>
      <w:r>
        <w:rPr>
          <w:rFonts w:hint="eastAsia" w:ascii="宋体" w:hAnsi="宋体" w:cs="宋体"/>
          <w:kern w:val="0"/>
          <w:sz w:val="24"/>
        </w:rPr>
        <w:t>查的谈判响应方进行报价商谈。</w:t>
      </w:r>
    </w:p>
    <w:p>
      <w:pPr>
        <w:spacing w:line="360" w:lineRule="auto"/>
        <w:ind w:firstLine="480" w:firstLineChars="200"/>
        <w:rPr>
          <w:rFonts w:ascii="宋体"/>
          <w:sz w:val="24"/>
        </w:rPr>
      </w:pPr>
      <w:r>
        <w:rPr>
          <w:rFonts w:hint="eastAsia" w:ascii="宋体"/>
          <w:sz w:val="24"/>
        </w:rPr>
        <w:t>（1）专家们就讨论和汇总的情况与供应商展开谈判；</w:t>
      </w:r>
    </w:p>
    <w:p>
      <w:pPr>
        <w:spacing w:line="360" w:lineRule="auto"/>
        <w:ind w:firstLine="480" w:firstLineChars="200"/>
        <w:rPr>
          <w:rFonts w:ascii="宋体"/>
          <w:sz w:val="24"/>
        </w:rPr>
      </w:pPr>
      <w:r>
        <w:rPr>
          <w:rFonts w:hint="eastAsia" w:ascii="宋体"/>
          <w:sz w:val="24"/>
        </w:rPr>
        <w:t>（2）供应商承诺并确认成果的商</w:t>
      </w:r>
      <w:r>
        <w:rPr>
          <w:rFonts w:hint="eastAsia" w:ascii="宋体"/>
          <w:color w:val="auto"/>
          <w:sz w:val="24"/>
        </w:rPr>
        <w:t>务要求，</w:t>
      </w:r>
      <w:r>
        <w:rPr>
          <w:rFonts w:hint="eastAsia" w:ascii="宋体"/>
          <w:color w:val="auto"/>
          <w:sz w:val="24"/>
          <w:lang w:eastAsia="zh-CN"/>
        </w:rPr>
        <w:t>提交</w:t>
      </w:r>
      <w:r>
        <w:rPr>
          <w:rFonts w:hint="eastAsia" w:ascii="宋体"/>
          <w:b/>
          <w:bCs/>
          <w:color w:val="auto"/>
          <w:sz w:val="24"/>
        </w:rPr>
        <w:t>最终报价</w:t>
      </w:r>
      <w:r>
        <w:rPr>
          <w:rFonts w:hint="eastAsia" w:ascii="宋体"/>
          <w:b/>
          <w:bCs/>
          <w:color w:val="auto"/>
          <w:sz w:val="24"/>
          <w:lang w:eastAsia="zh-CN"/>
        </w:rPr>
        <w:t>（</w:t>
      </w:r>
      <w:r>
        <w:rPr>
          <w:rFonts w:hint="eastAsia" w:ascii="宋体"/>
          <w:color w:val="auto"/>
          <w:sz w:val="24"/>
          <w:lang w:eastAsia="zh-CN"/>
        </w:rPr>
        <w:t>钉钉群公布邮箱</w:t>
      </w:r>
      <w:r>
        <w:rPr>
          <w:rFonts w:hint="eastAsia" w:ascii="宋体"/>
          <w:b/>
          <w:bCs/>
          <w:color w:val="auto"/>
          <w:sz w:val="24"/>
          <w:lang w:eastAsia="zh-CN"/>
        </w:rPr>
        <w:t>）</w:t>
      </w:r>
      <w:r>
        <w:rPr>
          <w:rFonts w:hint="eastAsia" w:ascii="宋体"/>
          <w:color w:val="auto"/>
          <w:sz w:val="24"/>
        </w:rPr>
        <w:t>。</w:t>
      </w:r>
    </w:p>
    <w:p>
      <w:pPr>
        <w:spacing w:line="360" w:lineRule="auto"/>
        <w:ind w:firstLine="480" w:firstLineChars="200"/>
        <w:rPr>
          <w:rFonts w:ascii="宋体"/>
          <w:sz w:val="24"/>
        </w:rPr>
      </w:pPr>
      <w:r>
        <w:rPr>
          <w:rFonts w:hint="eastAsia" w:ascii="宋体"/>
          <w:sz w:val="24"/>
        </w:rPr>
        <w:t>4.7谈判小组按谈判原则和方法推荐中标候选人并起草评审报告。</w:t>
      </w:r>
    </w:p>
    <w:p>
      <w:pPr>
        <w:spacing w:line="360" w:lineRule="auto"/>
        <w:ind w:firstLine="482" w:firstLineChars="200"/>
        <w:rPr>
          <w:rFonts w:ascii="宋体" w:hAnsi="宋体" w:cs="宋体"/>
          <w:b/>
          <w:sz w:val="24"/>
        </w:rPr>
      </w:pPr>
      <w:r>
        <w:rPr>
          <w:rFonts w:hint="eastAsia" w:ascii="宋体" w:hAnsi="宋体" w:cs="宋体"/>
          <w:b/>
          <w:sz w:val="24"/>
        </w:rPr>
        <w:t>五、中标通知</w:t>
      </w:r>
    </w:p>
    <w:p>
      <w:pPr>
        <w:spacing w:line="360" w:lineRule="auto"/>
        <w:ind w:firstLine="360" w:firstLineChars="150"/>
        <w:rPr>
          <w:rFonts w:ascii="宋体" w:hAnsi="宋体" w:cs="宋体"/>
          <w:sz w:val="24"/>
        </w:rPr>
      </w:pPr>
      <w:r>
        <w:rPr>
          <w:rFonts w:hint="eastAsia" w:ascii="宋体" w:hAnsi="宋体" w:cs="宋体"/>
          <w:sz w:val="24"/>
        </w:rPr>
        <w:t>（一）中标公告期限为1个工作日。谈判方以书面形式发出《中标通知书》，并同时在相关网站上公布成交结果。</w:t>
      </w:r>
    </w:p>
    <w:p>
      <w:pPr>
        <w:spacing w:line="360" w:lineRule="auto"/>
        <w:ind w:firstLine="360" w:firstLineChars="150"/>
        <w:rPr>
          <w:rFonts w:ascii="宋体" w:hAnsi="宋体" w:cs="宋体"/>
          <w:sz w:val="24"/>
        </w:rPr>
      </w:pPr>
      <w:r>
        <w:rPr>
          <w:rFonts w:hint="eastAsia" w:ascii="宋体" w:hAnsi="宋体" w:cs="宋体"/>
          <w:sz w:val="24"/>
        </w:rPr>
        <w:t>（二）确定中标人后，中标人应在三个工作日内，向谈判方领取《中标通知书》，否则按放弃中标资格处理，并因违反诚信原则，提交财政部门列入政府采购黑名单。</w:t>
      </w:r>
    </w:p>
    <w:p>
      <w:pPr>
        <w:spacing w:line="360" w:lineRule="auto"/>
        <w:ind w:firstLine="360" w:firstLineChars="150"/>
        <w:rPr>
          <w:rFonts w:ascii="宋体" w:hAnsi="宋体" w:cs="宋体"/>
          <w:sz w:val="24"/>
        </w:rPr>
      </w:pPr>
      <w:r>
        <w:rPr>
          <w:rFonts w:hint="eastAsia" w:ascii="宋体" w:hAnsi="宋体" w:cs="宋体"/>
          <w:sz w:val="24"/>
        </w:rPr>
        <w:t>（三）中标通知书发出后，若中标人放弃成交，应当承担相应的法律责任，中标通知书对采购人和中标谈判响应方具有同等法律效力。</w:t>
      </w:r>
    </w:p>
    <w:p>
      <w:pPr>
        <w:spacing w:line="360" w:lineRule="auto"/>
        <w:ind w:firstLine="482" w:firstLineChars="200"/>
        <w:rPr>
          <w:rFonts w:ascii="宋体" w:hAnsi="宋体" w:cs="宋体"/>
          <w:b/>
          <w:sz w:val="24"/>
        </w:rPr>
      </w:pPr>
      <w:r>
        <w:rPr>
          <w:rFonts w:hint="eastAsia" w:ascii="宋体" w:hAnsi="宋体" w:cs="宋体"/>
          <w:b/>
          <w:sz w:val="24"/>
        </w:rPr>
        <w:t>六、合同签订</w:t>
      </w:r>
    </w:p>
    <w:p>
      <w:pPr>
        <w:spacing w:line="360" w:lineRule="auto"/>
        <w:ind w:firstLine="480" w:firstLineChars="200"/>
        <w:rPr>
          <w:rFonts w:ascii="宋体" w:hAnsi="宋体" w:cs="宋体"/>
          <w:sz w:val="24"/>
        </w:rPr>
      </w:pPr>
      <w:r>
        <w:rPr>
          <w:rFonts w:hint="eastAsia" w:ascii="宋体" w:hAnsi="宋体" w:cs="宋体"/>
          <w:sz w:val="24"/>
        </w:rPr>
        <w:t>采购人与中标人应当在《中标通知书》发出之日起30日内签订采购合同，如中标人拖延、拒签合同，在30日内未完成合同签订的，按自动放弃中标处理，并承担相应的法律责任，中标通知书对采购人和中标单位具有同等法律效力。</w:t>
      </w:r>
    </w:p>
    <w:p>
      <w:pPr>
        <w:spacing w:line="360" w:lineRule="auto"/>
        <w:ind w:firstLine="480"/>
        <w:rPr>
          <w:rFonts w:cs="宋体"/>
          <w:bCs/>
          <w:color w:val="000000" w:themeColor="text1"/>
          <w:sz w:val="24"/>
          <w14:textFill>
            <w14:solidFill>
              <w14:schemeClr w14:val="tx1"/>
            </w14:solidFill>
          </w14:textFill>
        </w:rPr>
      </w:pPr>
      <w:r>
        <w:rPr>
          <w:color w:val="000000" w:themeColor="text1"/>
          <w14:textFill>
            <w14:solidFill>
              <w14:schemeClr w14:val="tx1"/>
            </w14:solidFill>
          </w14:textFill>
        </w:rPr>
        <w:br w:type="page"/>
      </w:r>
    </w:p>
    <w:p>
      <w:pPr>
        <w:snapToGrid w:val="0"/>
        <w:spacing w:line="360" w:lineRule="auto"/>
        <w:jc w:val="center"/>
        <w:outlineLvl w:val="0"/>
        <w:rPr>
          <w:rFonts w:ascii="宋体" w:hAnsi="宋体" w:cs="宋体"/>
          <w:b/>
          <w:bCs/>
          <w:color w:val="000000" w:themeColor="text1"/>
          <w:sz w:val="32"/>
          <w:szCs w:val="32"/>
          <w14:textFill>
            <w14:solidFill>
              <w14:schemeClr w14:val="tx1"/>
            </w14:solidFill>
          </w14:textFill>
        </w:rPr>
      </w:pPr>
    </w:p>
    <w:p>
      <w:pPr>
        <w:snapToGrid w:val="0"/>
        <w:spacing w:line="360" w:lineRule="auto"/>
        <w:jc w:val="center"/>
        <w:outlineLvl w:val="0"/>
        <w:rPr>
          <w:rFonts w:ascii="宋体" w:hAnsi="宋体" w:cs="宋体"/>
          <w:b/>
          <w:bCs/>
          <w:color w:val="000000" w:themeColor="text1"/>
          <w:sz w:val="32"/>
          <w:szCs w:val="32"/>
          <w14:textFill>
            <w14:solidFill>
              <w14:schemeClr w14:val="tx1"/>
            </w14:solidFill>
          </w14:textFill>
        </w:rPr>
      </w:pPr>
      <w:bookmarkStart w:id="9" w:name="_Toc17605"/>
      <w:r>
        <w:rPr>
          <w:rFonts w:ascii="宋体" w:hAnsi="宋体" w:cs="宋体"/>
          <w:b/>
          <w:bCs/>
          <w:color w:val="000000" w:themeColor="text1"/>
          <w:sz w:val="32"/>
          <w:szCs w:val="32"/>
          <w14:textFill>
            <w14:solidFill>
              <w14:schemeClr w14:val="tx1"/>
            </w14:solidFill>
          </w14:textFill>
        </w:rPr>
        <w:t>第</w:t>
      </w:r>
      <w:r>
        <w:rPr>
          <w:rFonts w:hint="eastAsia" w:ascii="宋体" w:hAnsi="宋体" w:cs="宋体"/>
          <w:b/>
          <w:bCs/>
          <w:color w:val="000000" w:themeColor="text1"/>
          <w:sz w:val="32"/>
          <w:szCs w:val="32"/>
          <w14:textFill>
            <w14:solidFill>
              <w14:schemeClr w14:val="tx1"/>
            </w14:solidFill>
          </w14:textFill>
        </w:rPr>
        <w:t>六</w:t>
      </w:r>
      <w:r>
        <w:rPr>
          <w:rFonts w:ascii="宋体" w:hAnsi="宋体" w:cs="宋体"/>
          <w:b/>
          <w:bCs/>
          <w:color w:val="000000" w:themeColor="text1"/>
          <w:sz w:val="32"/>
          <w:szCs w:val="32"/>
          <w14:textFill>
            <w14:solidFill>
              <w14:schemeClr w14:val="tx1"/>
            </w14:solidFill>
          </w14:textFill>
        </w:rPr>
        <w:t>章  采购合同主要条款</w:t>
      </w:r>
      <w:bookmarkEnd w:id="9"/>
    </w:p>
    <w:p>
      <w:pPr>
        <w:pStyle w:val="6"/>
        <w:keepNext w:val="0"/>
        <w:keepLines w:val="0"/>
        <w:pageBreakBefore w:val="0"/>
        <w:widowControl w:val="0"/>
        <w:kinsoku/>
        <w:wordWrap/>
        <w:overflowPunct/>
        <w:topLinePunct w:val="0"/>
        <w:autoSpaceDE/>
        <w:autoSpaceDN/>
        <w:bidi w:val="0"/>
        <w:adjustRightInd/>
        <w:spacing w:before="0" w:after="0" w:line="240" w:lineRule="auto"/>
        <w:jc w:val="center"/>
        <w:textAlignment w:val="auto"/>
        <w:rPr>
          <w:rFonts w:ascii="宋体" w:hAnsi="宋体" w:cs="宋体"/>
          <w:bCs w:val="0"/>
          <w:color w:val="000000" w:themeColor="text1"/>
          <w:sz w:val="30"/>
          <w:szCs w:val="20"/>
          <w14:textFill>
            <w14:solidFill>
              <w14:schemeClr w14:val="tx1"/>
            </w14:solidFill>
          </w14:textFill>
        </w:rPr>
      </w:pPr>
      <w:bookmarkStart w:id="10" w:name="_Toc18948"/>
      <w:r>
        <w:rPr>
          <w:rFonts w:ascii="宋体" w:hAnsi="宋体" w:cs="宋体"/>
          <w:color w:val="000000" w:themeColor="text1"/>
          <w:sz w:val="30"/>
          <w14:textFill>
            <w14:solidFill>
              <w14:schemeClr w14:val="tx1"/>
            </w14:solidFill>
          </w14:textFill>
        </w:rPr>
        <w:t>采购合同（样本）</w:t>
      </w:r>
      <w:bookmarkEnd w:id="10"/>
    </w:p>
    <w:p>
      <w:pPr>
        <w:keepNext w:val="0"/>
        <w:keepLines w:val="0"/>
        <w:pageBreakBefore w:val="0"/>
        <w:widowControl w:val="0"/>
        <w:kinsoku/>
        <w:wordWrap/>
        <w:overflowPunct/>
        <w:topLinePunct w:val="0"/>
        <w:autoSpaceDE/>
        <w:autoSpaceDN/>
        <w:bidi w:val="0"/>
        <w:adjustRightInd/>
        <w:snapToGrid w:val="0"/>
        <w:spacing w:before="156" w:after="156" w:line="240" w:lineRule="auto"/>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项目名称：                   项目编号：               合同号：</w:t>
      </w:r>
    </w:p>
    <w:p>
      <w:pPr>
        <w:keepNext w:val="0"/>
        <w:keepLines w:val="0"/>
        <w:pageBreakBefore w:val="0"/>
        <w:widowControl w:val="0"/>
        <w:kinsoku/>
        <w:wordWrap/>
        <w:overflowPunct/>
        <w:topLinePunct w:val="0"/>
        <w:autoSpaceDE/>
        <w:autoSpaceDN/>
        <w:bidi w:val="0"/>
        <w:adjustRightInd/>
        <w:snapToGrid w:val="0"/>
        <w:spacing w:before="156" w:after="156" w:line="240" w:lineRule="auto"/>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甲方（买方）：</w:t>
      </w:r>
    </w:p>
    <w:p>
      <w:pPr>
        <w:keepNext w:val="0"/>
        <w:keepLines w:val="0"/>
        <w:pageBreakBefore w:val="0"/>
        <w:widowControl w:val="0"/>
        <w:kinsoku/>
        <w:wordWrap/>
        <w:overflowPunct/>
        <w:topLinePunct w:val="0"/>
        <w:autoSpaceDE/>
        <w:autoSpaceDN/>
        <w:bidi w:val="0"/>
        <w:adjustRightInd/>
        <w:snapToGrid w:val="0"/>
        <w:spacing w:before="156" w:after="156" w:line="240" w:lineRule="auto"/>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乙方（卖方）：</w:t>
      </w:r>
    </w:p>
    <w:p>
      <w:pPr>
        <w:keepNext w:val="0"/>
        <w:keepLines w:val="0"/>
        <w:pageBreakBefore w:val="0"/>
        <w:widowControl w:val="0"/>
        <w:kinsoku/>
        <w:wordWrap/>
        <w:overflowPunct/>
        <w:topLinePunct w:val="0"/>
        <w:autoSpaceDE/>
        <w:autoSpaceDN/>
        <w:bidi w:val="0"/>
        <w:adjustRightInd/>
        <w:snapToGrid w:val="0"/>
        <w:spacing w:before="156" w:after="156" w:line="240" w:lineRule="auto"/>
        <w:ind w:firstLine="480" w:firstLineChars="200"/>
        <w:textAlignment w:val="auto"/>
        <w:rPr>
          <w:rFonts w:ascii="宋体" w:hAnsi="宋体" w:cs="宋体"/>
          <w:b/>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xml:space="preserve">甲、乙双方根据    年 </w:t>
      </w:r>
      <w:r>
        <w:rPr>
          <w:rFonts w:hint="eastAsia" w:ascii="宋体" w:hAnsi="宋体" w:cs="宋体"/>
          <w:color w:val="000000" w:themeColor="text1"/>
          <w:sz w:val="24"/>
          <w:lang w:val="en-US" w:eastAsia="zh-CN"/>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 xml:space="preserve"> 月</w:t>
      </w:r>
      <w:r>
        <w:rPr>
          <w:rFonts w:hint="eastAsia" w:ascii="宋体" w:hAnsi="宋体" w:cs="宋体"/>
          <w:color w:val="000000" w:themeColor="text1"/>
          <w:sz w:val="24"/>
          <w:lang w:val="en-US" w:eastAsia="zh-CN"/>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 xml:space="preserve">  日</w:t>
      </w:r>
      <w:r>
        <w:rPr>
          <w:rFonts w:hint="eastAsia" w:ascii="宋体" w:hAnsi="宋体" w:cs="宋体"/>
          <w:color w:val="000000" w:themeColor="text1"/>
          <w:sz w:val="24"/>
          <w14:textFill>
            <w14:solidFill>
              <w14:schemeClr w14:val="tx1"/>
            </w14:solidFill>
          </w14:textFill>
        </w:rPr>
        <w:t>浙江广厦建设职业技术大学</w:t>
      </w:r>
      <w:r>
        <w:rPr>
          <w:rFonts w:ascii="宋体" w:hAnsi="宋体" w:cs="宋体"/>
          <w:color w:val="000000" w:themeColor="text1"/>
          <w:sz w:val="24"/>
          <w14:textFill>
            <w14:solidFill>
              <w14:schemeClr w14:val="tx1"/>
            </w14:solidFill>
          </w14:textFill>
        </w:rPr>
        <w:t>关于项目公开招标的结果，签署本合同。</w:t>
      </w:r>
    </w:p>
    <w:p>
      <w:pPr>
        <w:keepNext w:val="0"/>
        <w:keepLines w:val="0"/>
        <w:pageBreakBefore w:val="0"/>
        <w:widowControl w:val="0"/>
        <w:kinsoku/>
        <w:wordWrap/>
        <w:overflowPunct/>
        <w:topLinePunct w:val="0"/>
        <w:autoSpaceDE/>
        <w:autoSpaceDN/>
        <w:bidi w:val="0"/>
        <w:adjustRightInd/>
        <w:snapToGrid w:val="0"/>
        <w:spacing w:before="156" w:after="156" w:line="240" w:lineRule="auto"/>
        <w:textAlignment w:val="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一、货物内容</w:t>
      </w:r>
    </w:p>
    <w:p>
      <w:pPr>
        <w:keepNext w:val="0"/>
        <w:keepLines w:val="0"/>
        <w:pageBreakBefore w:val="0"/>
        <w:widowControl w:val="0"/>
        <w:kinsoku/>
        <w:wordWrap/>
        <w:overflowPunct/>
        <w:topLinePunct w:val="0"/>
        <w:autoSpaceDE/>
        <w:autoSpaceDN/>
        <w:bidi w:val="0"/>
        <w:adjustRightInd/>
        <w:snapToGrid w:val="0"/>
        <w:spacing w:before="156" w:after="156" w:line="240" w:lineRule="auto"/>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 货物名称：</w:t>
      </w:r>
    </w:p>
    <w:p>
      <w:pPr>
        <w:keepNext w:val="0"/>
        <w:keepLines w:val="0"/>
        <w:pageBreakBefore w:val="0"/>
        <w:widowControl w:val="0"/>
        <w:kinsoku/>
        <w:wordWrap/>
        <w:overflowPunct/>
        <w:topLinePunct w:val="0"/>
        <w:autoSpaceDE/>
        <w:autoSpaceDN/>
        <w:bidi w:val="0"/>
        <w:adjustRightInd/>
        <w:snapToGrid w:val="0"/>
        <w:spacing w:before="156" w:after="156" w:line="240" w:lineRule="auto"/>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 型号规格：</w:t>
      </w:r>
    </w:p>
    <w:p>
      <w:pPr>
        <w:keepNext w:val="0"/>
        <w:keepLines w:val="0"/>
        <w:pageBreakBefore w:val="0"/>
        <w:widowControl w:val="0"/>
        <w:kinsoku/>
        <w:wordWrap/>
        <w:overflowPunct/>
        <w:topLinePunct w:val="0"/>
        <w:autoSpaceDE/>
        <w:autoSpaceDN/>
        <w:bidi w:val="0"/>
        <w:adjustRightInd/>
        <w:snapToGrid w:val="0"/>
        <w:spacing w:before="156" w:after="156" w:line="240" w:lineRule="auto"/>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 技术参数：</w:t>
      </w:r>
    </w:p>
    <w:p>
      <w:pPr>
        <w:keepNext w:val="0"/>
        <w:keepLines w:val="0"/>
        <w:pageBreakBefore w:val="0"/>
        <w:widowControl w:val="0"/>
        <w:kinsoku/>
        <w:wordWrap/>
        <w:overflowPunct/>
        <w:topLinePunct w:val="0"/>
        <w:autoSpaceDE/>
        <w:autoSpaceDN/>
        <w:bidi w:val="0"/>
        <w:adjustRightInd/>
        <w:snapToGrid w:val="0"/>
        <w:spacing w:before="156" w:after="156" w:line="240" w:lineRule="auto"/>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4. 数量（单位）：</w:t>
      </w:r>
    </w:p>
    <w:p>
      <w:pPr>
        <w:keepNext w:val="0"/>
        <w:keepLines w:val="0"/>
        <w:pageBreakBefore w:val="0"/>
        <w:widowControl w:val="0"/>
        <w:kinsoku/>
        <w:wordWrap/>
        <w:overflowPunct/>
        <w:topLinePunct w:val="0"/>
        <w:autoSpaceDE/>
        <w:autoSpaceDN/>
        <w:bidi w:val="0"/>
        <w:adjustRightInd/>
        <w:snapToGrid w:val="0"/>
        <w:spacing w:before="156" w:after="156" w:line="240" w:lineRule="auto"/>
        <w:textAlignment w:val="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二、合同金额</w:t>
      </w:r>
    </w:p>
    <w:p>
      <w:pPr>
        <w:keepNext w:val="0"/>
        <w:keepLines w:val="0"/>
        <w:pageBreakBefore w:val="0"/>
        <w:widowControl w:val="0"/>
        <w:kinsoku/>
        <w:wordWrap/>
        <w:overflowPunct/>
        <w:topLinePunct w:val="0"/>
        <w:autoSpaceDE/>
        <w:autoSpaceDN/>
        <w:bidi w:val="0"/>
        <w:adjustRightInd/>
        <w:snapToGrid w:val="0"/>
        <w:spacing w:before="156" w:after="156" w:line="240" w:lineRule="auto"/>
        <w:ind w:left="410" w:hanging="410"/>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xml:space="preserve"> 本合同金额为（大写）：____________元（￥_______________元）人民币。</w:t>
      </w:r>
    </w:p>
    <w:p>
      <w:pPr>
        <w:keepNext w:val="0"/>
        <w:keepLines w:val="0"/>
        <w:pageBreakBefore w:val="0"/>
        <w:widowControl w:val="0"/>
        <w:kinsoku/>
        <w:wordWrap/>
        <w:overflowPunct/>
        <w:topLinePunct w:val="0"/>
        <w:autoSpaceDE/>
        <w:autoSpaceDN/>
        <w:bidi w:val="0"/>
        <w:adjustRightInd/>
        <w:snapToGrid w:val="0"/>
        <w:spacing w:before="156" w:after="156" w:line="240" w:lineRule="auto"/>
        <w:textAlignment w:val="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三、技术资料</w:t>
      </w:r>
    </w:p>
    <w:p>
      <w:pPr>
        <w:keepNext w:val="0"/>
        <w:keepLines w:val="0"/>
        <w:pageBreakBefore w:val="0"/>
        <w:widowControl w:val="0"/>
        <w:kinsoku/>
        <w:wordWrap/>
        <w:overflowPunct/>
        <w:topLinePunct w:val="0"/>
        <w:autoSpaceDE/>
        <w:autoSpaceDN/>
        <w:bidi w:val="0"/>
        <w:adjustRightInd/>
        <w:snapToGrid w:val="0"/>
        <w:spacing w:before="156" w:after="156" w:line="240" w:lineRule="auto"/>
        <w:ind w:left="410" w:hanging="410"/>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1.乙方应按招标文件规定的时间向甲方提供使用货物的有关技术资料。</w:t>
      </w:r>
    </w:p>
    <w:p>
      <w:pPr>
        <w:keepNext w:val="0"/>
        <w:keepLines w:val="0"/>
        <w:pageBreakBefore w:val="0"/>
        <w:widowControl w:val="0"/>
        <w:kinsoku/>
        <w:wordWrap/>
        <w:overflowPunct/>
        <w:topLinePunct w:val="0"/>
        <w:autoSpaceDE/>
        <w:autoSpaceDN/>
        <w:bidi w:val="0"/>
        <w:adjustRightInd/>
        <w:snapToGrid w:val="0"/>
        <w:spacing w:before="156" w:after="156" w:line="240" w:lineRule="auto"/>
        <w:ind w:left="410" w:hanging="410"/>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 没有甲方事先书面同意，乙方不得将由甲方提供的有关合同或任何合同条文、规</w:t>
      </w:r>
    </w:p>
    <w:p>
      <w:pPr>
        <w:keepNext w:val="0"/>
        <w:keepLines w:val="0"/>
        <w:pageBreakBefore w:val="0"/>
        <w:widowControl w:val="0"/>
        <w:kinsoku/>
        <w:wordWrap/>
        <w:overflowPunct/>
        <w:topLinePunct w:val="0"/>
        <w:autoSpaceDE/>
        <w:autoSpaceDN/>
        <w:bidi w:val="0"/>
        <w:adjustRightInd/>
        <w:snapToGrid w:val="0"/>
        <w:spacing w:before="156" w:after="156" w:line="240" w:lineRule="auto"/>
        <w:ind w:left="410" w:hanging="410"/>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格、计划、图纸、样品或资料提供给与履行本合同无关的任何其他人。即使向履行本</w:t>
      </w:r>
    </w:p>
    <w:p>
      <w:pPr>
        <w:keepNext w:val="0"/>
        <w:keepLines w:val="0"/>
        <w:pageBreakBefore w:val="0"/>
        <w:widowControl w:val="0"/>
        <w:kinsoku/>
        <w:wordWrap/>
        <w:overflowPunct/>
        <w:topLinePunct w:val="0"/>
        <w:autoSpaceDE/>
        <w:autoSpaceDN/>
        <w:bidi w:val="0"/>
        <w:adjustRightInd/>
        <w:snapToGrid w:val="0"/>
        <w:spacing w:before="156" w:after="156" w:line="240" w:lineRule="auto"/>
        <w:ind w:left="410" w:hanging="410"/>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合同有关的人员提供，也应注意保密并限于履行合同的必需范围。</w:t>
      </w:r>
    </w:p>
    <w:p>
      <w:pPr>
        <w:keepNext w:val="0"/>
        <w:keepLines w:val="0"/>
        <w:pageBreakBefore w:val="0"/>
        <w:widowControl w:val="0"/>
        <w:kinsoku/>
        <w:wordWrap/>
        <w:overflowPunct/>
        <w:topLinePunct w:val="0"/>
        <w:autoSpaceDE/>
        <w:autoSpaceDN/>
        <w:bidi w:val="0"/>
        <w:adjustRightInd/>
        <w:snapToGrid w:val="0"/>
        <w:spacing w:before="156" w:after="156" w:line="240" w:lineRule="auto"/>
        <w:ind w:left="412" w:hanging="412"/>
        <w:textAlignment w:val="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四、知识产权</w:t>
      </w:r>
    </w:p>
    <w:p>
      <w:pPr>
        <w:keepNext w:val="0"/>
        <w:keepLines w:val="0"/>
        <w:pageBreakBefore w:val="0"/>
        <w:widowControl w:val="0"/>
        <w:kinsoku/>
        <w:wordWrap/>
        <w:overflowPunct/>
        <w:topLinePunct w:val="0"/>
        <w:autoSpaceDE/>
        <w:autoSpaceDN/>
        <w:bidi w:val="0"/>
        <w:adjustRightInd/>
        <w:snapToGrid w:val="0"/>
        <w:spacing w:before="156" w:after="156" w:line="240" w:lineRule="auto"/>
        <w:textAlignment w:val="auto"/>
        <w:rPr>
          <w:rFonts w:ascii="宋体" w:hAnsi="宋体" w:cs="宋体"/>
          <w:bCs/>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乙方应保证所提供的货物或其任何一部分均不会侵犯任何第三方的知识产权</w:t>
      </w:r>
      <w:r>
        <w:rPr>
          <w:rFonts w:ascii="宋体" w:hAnsi="宋体" w:cs="宋体"/>
          <w:bCs/>
          <w:color w:val="000000" w:themeColor="text1"/>
          <w:sz w:val="24"/>
          <w14:textFill>
            <w14:solidFill>
              <w14:schemeClr w14:val="tx1"/>
            </w14:solidFill>
          </w14:textFill>
        </w:rPr>
        <w:t>。</w:t>
      </w:r>
    </w:p>
    <w:p>
      <w:pPr>
        <w:pStyle w:val="47"/>
        <w:keepNext w:val="0"/>
        <w:keepLines w:val="0"/>
        <w:pageBreakBefore w:val="0"/>
        <w:widowControl w:val="0"/>
        <w:numPr>
          <w:ilvl w:val="0"/>
          <w:numId w:val="6"/>
        </w:numPr>
        <w:kinsoku/>
        <w:wordWrap/>
        <w:overflowPunct/>
        <w:topLinePunct w:val="0"/>
        <w:autoSpaceDE/>
        <w:autoSpaceDN/>
        <w:bidi w:val="0"/>
        <w:adjustRightInd/>
        <w:snapToGrid w:val="0"/>
        <w:spacing w:before="156" w:after="156" w:line="240" w:lineRule="auto"/>
        <w:ind w:firstLineChars="0"/>
        <w:textAlignment w:val="auto"/>
        <w:rPr>
          <w:rFonts w:ascii="宋体" w:hAnsi="宋体" w:cs="宋体"/>
          <w:color w:val="000000" w:themeColor="text1"/>
          <w:sz w:val="24"/>
          <w:u w:val="single"/>
          <w14:textFill>
            <w14:solidFill>
              <w14:schemeClr w14:val="tx1"/>
            </w14:solidFill>
          </w14:textFill>
        </w:rPr>
      </w:pPr>
      <w:r>
        <w:rPr>
          <w:rFonts w:ascii="宋体" w:hAnsi="宋体" w:cs="宋体"/>
          <w:b/>
          <w:color w:val="000000" w:themeColor="text1"/>
          <w:sz w:val="24"/>
          <w14:textFill>
            <w14:solidFill>
              <w14:schemeClr w14:val="tx1"/>
            </w14:solidFill>
          </w14:textFill>
        </w:rPr>
        <w:t>产权担保</w:t>
      </w:r>
    </w:p>
    <w:p>
      <w:pPr>
        <w:keepNext w:val="0"/>
        <w:keepLines w:val="0"/>
        <w:pageBreakBefore w:val="0"/>
        <w:widowControl w:val="0"/>
        <w:kinsoku/>
        <w:wordWrap/>
        <w:overflowPunct/>
        <w:topLinePunct w:val="0"/>
        <w:autoSpaceDE/>
        <w:autoSpaceDN/>
        <w:bidi w:val="0"/>
        <w:adjustRightInd/>
        <w:snapToGrid w:val="0"/>
        <w:spacing w:before="156" w:after="156" w:line="240" w:lineRule="auto"/>
        <w:ind w:left="408" w:hanging="408"/>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乙方保证所交付的货物的所有权完全属于乙方且无任何抵押、查封等产权瑕疵。</w:t>
      </w:r>
    </w:p>
    <w:p>
      <w:pPr>
        <w:pStyle w:val="47"/>
        <w:keepNext w:val="0"/>
        <w:keepLines w:val="0"/>
        <w:pageBreakBefore w:val="0"/>
        <w:widowControl w:val="0"/>
        <w:numPr>
          <w:ilvl w:val="0"/>
          <w:numId w:val="6"/>
        </w:numPr>
        <w:kinsoku/>
        <w:wordWrap/>
        <w:overflowPunct/>
        <w:topLinePunct w:val="0"/>
        <w:autoSpaceDE/>
        <w:autoSpaceDN/>
        <w:bidi w:val="0"/>
        <w:adjustRightInd/>
        <w:snapToGrid w:val="0"/>
        <w:spacing w:before="156" w:after="156" w:line="240" w:lineRule="auto"/>
        <w:ind w:firstLineChars="0"/>
        <w:textAlignment w:val="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履约保证金</w:t>
      </w:r>
    </w:p>
    <w:p>
      <w:pPr>
        <w:keepNext w:val="0"/>
        <w:keepLines w:val="0"/>
        <w:pageBreakBefore w:val="0"/>
        <w:widowControl w:val="0"/>
        <w:kinsoku/>
        <w:wordWrap/>
        <w:overflowPunct/>
        <w:topLinePunct w:val="0"/>
        <w:autoSpaceDE/>
        <w:autoSpaceDN/>
        <w:bidi w:val="0"/>
        <w:adjustRightInd/>
        <w:snapToGrid w:val="0"/>
        <w:spacing w:before="156" w:after="156" w:line="240" w:lineRule="auto"/>
        <w:ind w:firstLine="480" w:firstLineChars="200"/>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履约保证金为合同价款的</w:t>
      </w:r>
      <w:r>
        <w:rPr>
          <w:rFonts w:hint="eastAsia" w:ascii="宋体" w:hAnsi="宋体" w:cs="宋体"/>
          <w:color w:val="000000" w:themeColor="text1"/>
          <w:sz w:val="24"/>
          <w14:textFill>
            <w14:solidFill>
              <w14:schemeClr w14:val="tx1"/>
            </w14:solidFill>
          </w14:textFill>
        </w:rPr>
        <w:t>5</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在合同签订前汇入甲方指定账户，于</w:t>
      </w:r>
      <w:r>
        <w:rPr>
          <w:rFonts w:ascii="宋体" w:hAnsi="宋体" w:cs="宋体"/>
          <w:color w:val="000000" w:themeColor="text1"/>
          <w:sz w:val="24"/>
          <w14:textFill>
            <w14:solidFill>
              <w14:schemeClr w14:val="tx1"/>
            </w14:solidFill>
          </w14:textFill>
        </w:rPr>
        <w:t>项目完成且验收合格（由采购人出具验收合格报告，要求原件）之日起15个工作日内退还。</w:t>
      </w:r>
    </w:p>
    <w:p>
      <w:pPr>
        <w:keepNext w:val="0"/>
        <w:keepLines w:val="0"/>
        <w:pageBreakBefore w:val="0"/>
        <w:widowControl w:val="0"/>
        <w:kinsoku/>
        <w:wordWrap/>
        <w:overflowPunct/>
        <w:topLinePunct w:val="0"/>
        <w:autoSpaceDE/>
        <w:autoSpaceDN/>
        <w:bidi w:val="0"/>
        <w:adjustRightInd/>
        <w:snapToGrid w:val="0"/>
        <w:spacing w:before="156" w:after="156" w:line="240" w:lineRule="auto"/>
        <w:ind w:left="410" w:hanging="410"/>
        <w:textAlignment w:val="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七、转包或分包</w:t>
      </w:r>
    </w:p>
    <w:p>
      <w:pPr>
        <w:keepNext w:val="0"/>
        <w:keepLines w:val="0"/>
        <w:pageBreakBefore w:val="0"/>
        <w:widowControl w:val="0"/>
        <w:kinsoku/>
        <w:wordWrap/>
        <w:overflowPunct/>
        <w:topLinePunct w:val="0"/>
        <w:autoSpaceDE/>
        <w:autoSpaceDN/>
        <w:bidi w:val="0"/>
        <w:adjustRightInd/>
        <w:snapToGrid w:val="0"/>
        <w:spacing w:before="156" w:after="156" w:line="240" w:lineRule="auto"/>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1.本合同范围的货物，应由乙方直接供应，不得转让他人供应；</w:t>
      </w:r>
    </w:p>
    <w:p>
      <w:pPr>
        <w:keepNext w:val="0"/>
        <w:keepLines w:val="0"/>
        <w:pageBreakBefore w:val="0"/>
        <w:widowControl w:val="0"/>
        <w:kinsoku/>
        <w:wordWrap/>
        <w:overflowPunct/>
        <w:topLinePunct w:val="0"/>
        <w:autoSpaceDE/>
        <w:autoSpaceDN/>
        <w:bidi w:val="0"/>
        <w:adjustRightInd/>
        <w:snapToGrid w:val="0"/>
        <w:spacing w:before="156" w:after="156" w:line="240" w:lineRule="auto"/>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2.除非得到甲方的书面同意，乙方不得将本合同范围的货物全部或部分分包给他人供应；</w:t>
      </w:r>
    </w:p>
    <w:p>
      <w:pPr>
        <w:keepNext w:val="0"/>
        <w:keepLines w:val="0"/>
        <w:pageBreakBefore w:val="0"/>
        <w:widowControl w:val="0"/>
        <w:kinsoku/>
        <w:wordWrap/>
        <w:overflowPunct/>
        <w:topLinePunct w:val="0"/>
        <w:autoSpaceDE/>
        <w:autoSpaceDN/>
        <w:bidi w:val="0"/>
        <w:adjustRightInd/>
        <w:snapToGrid w:val="0"/>
        <w:spacing w:before="156" w:after="156" w:line="240" w:lineRule="auto"/>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3.如有转让和未经甲方同意的分包行为，甲方有权解除合同，没收履约保证金并追究乙方的违约责任。</w:t>
      </w:r>
    </w:p>
    <w:p>
      <w:pPr>
        <w:keepNext w:val="0"/>
        <w:keepLines w:val="0"/>
        <w:pageBreakBefore w:val="0"/>
        <w:widowControl w:val="0"/>
        <w:kinsoku/>
        <w:wordWrap/>
        <w:overflowPunct/>
        <w:topLinePunct w:val="0"/>
        <w:autoSpaceDE/>
        <w:autoSpaceDN/>
        <w:bidi w:val="0"/>
        <w:adjustRightInd/>
        <w:snapToGrid w:val="0"/>
        <w:spacing w:before="156" w:after="156" w:line="240" w:lineRule="auto"/>
        <w:textAlignment w:val="auto"/>
        <w:rPr>
          <w:rFonts w:ascii="宋体" w:hAnsi="宋体" w:cs="宋体"/>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八、质保期和质保金</w:t>
      </w:r>
    </w:p>
    <w:p>
      <w:pPr>
        <w:keepNext w:val="0"/>
        <w:keepLines w:val="0"/>
        <w:pageBreakBefore w:val="0"/>
        <w:widowControl w:val="0"/>
        <w:kinsoku/>
        <w:wordWrap/>
        <w:overflowPunct/>
        <w:topLinePunct w:val="0"/>
        <w:autoSpaceDE/>
        <w:autoSpaceDN/>
        <w:bidi w:val="0"/>
        <w:adjustRightInd/>
        <w:snapToGrid w:val="0"/>
        <w:spacing w:before="156" w:after="156" w:line="240" w:lineRule="auto"/>
        <w:ind w:left="410" w:hanging="410"/>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xml:space="preserve"> 质保期</w:t>
      </w:r>
      <w:r>
        <w:rPr>
          <w:rFonts w:ascii="宋体" w:hAnsi="宋体" w:cs="宋体"/>
          <w:color w:val="000000" w:themeColor="text1"/>
          <w:sz w:val="24"/>
          <w:u w:val="single"/>
          <w14:textFill>
            <w14:solidFill>
              <w14:schemeClr w14:val="tx1"/>
            </w14:solidFill>
          </w14:textFill>
        </w:rPr>
        <w:t xml:space="preserve">   1  </w:t>
      </w:r>
      <w:r>
        <w:rPr>
          <w:rFonts w:ascii="宋体" w:hAnsi="宋体" w:cs="宋体"/>
          <w:color w:val="000000" w:themeColor="text1"/>
          <w:sz w:val="24"/>
          <w14:textFill>
            <w14:solidFill>
              <w14:schemeClr w14:val="tx1"/>
            </w14:solidFill>
          </w14:textFill>
        </w:rPr>
        <w:t>年。（自交货验收合格之日起计）</w:t>
      </w:r>
    </w:p>
    <w:p>
      <w:pPr>
        <w:keepNext w:val="0"/>
        <w:keepLines w:val="0"/>
        <w:pageBreakBefore w:val="0"/>
        <w:widowControl w:val="0"/>
        <w:kinsoku/>
        <w:wordWrap/>
        <w:overflowPunct/>
        <w:topLinePunct w:val="0"/>
        <w:autoSpaceDE/>
        <w:autoSpaceDN/>
        <w:bidi w:val="0"/>
        <w:adjustRightInd/>
        <w:snapToGrid w:val="0"/>
        <w:spacing w:before="156" w:after="156" w:line="240" w:lineRule="auto"/>
        <w:textAlignment w:val="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九、交货期、交货地点</w:t>
      </w:r>
    </w:p>
    <w:p>
      <w:pPr>
        <w:keepNext w:val="0"/>
        <w:keepLines w:val="0"/>
        <w:pageBreakBefore w:val="0"/>
        <w:widowControl w:val="0"/>
        <w:kinsoku/>
        <w:wordWrap/>
        <w:overflowPunct/>
        <w:topLinePunct w:val="0"/>
        <w:autoSpaceDE/>
        <w:autoSpaceDN/>
        <w:bidi w:val="0"/>
        <w:adjustRightInd/>
        <w:snapToGrid w:val="0"/>
        <w:spacing w:before="156" w:after="156" w:line="240" w:lineRule="auto"/>
        <w:textAlignment w:val="auto"/>
        <w:rPr>
          <w:rFonts w:ascii="宋体" w:hAnsi="宋体" w:cs="宋体"/>
          <w:bCs/>
          <w:color w:val="000000" w:themeColor="text1"/>
          <w:sz w:val="24"/>
          <w:u w:val="single"/>
          <w14:textFill>
            <w14:solidFill>
              <w14:schemeClr w14:val="tx1"/>
            </w14:solidFill>
          </w14:textFill>
        </w:rPr>
      </w:pPr>
      <w:r>
        <w:rPr>
          <w:rFonts w:ascii="宋体" w:hAnsi="宋体" w:cs="宋体"/>
          <w:bCs/>
          <w:color w:val="000000" w:themeColor="text1"/>
          <w:sz w:val="24"/>
          <w14:textFill>
            <w14:solidFill>
              <w14:schemeClr w14:val="tx1"/>
            </w14:solidFill>
          </w14:textFill>
        </w:rPr>
        <w:t>1. 交货期：</w:t>
      </w:r>
    </w:p>
    <w:p>
      <w:pPr>
        <w:keepNext w:val="0"/>
        <w:keepLines w:val="0"/>
        <w:pageBreakBefore w:val="0"/>
        <w:widowControl w:val="0"/>
        <w:kinsoku/>
        <w:wordWrap/>
        <w:overflowPunct/>
        <w:topLinePunct w:val="0"/>
        <w:autoSpaceDE/>
        <w:autoSpaceDN/>
        <w:bidi w:val="0"/>
        <w:adjustRightInd/>
        <w:snapToGrid w:val="0"/>
        <w:spacing w:before="156" w:after="156" w:line="240" w:lineRule="auto"/>
        <w:textAlignment w:val="auto"/>
        <w:rPr>
          <w:rFonts w:ascii="宋体" w:hAnsi="宋体" w:cs="宋体"/>
          <w:b/>
          <w:color w:val="000000" w:themeColor="text1"/>
          <w:sz w:val="24"/>
          <w:u w:val="single"/>
          <w14:textFill>
            <w14:solidFill>
              <w14:schemeClr w14:val="tx1"/>
            </w14:solidFill>
          </w14:textFill>
        </w:rPr>
      </w:pPr>
      <w:r>
        <w:rPr>
          <w:rFonts w:ascii="宋体" w:hAnsi="宋体" w:cs="宋体"/>
          <w:bCs/>
          <w:color w:val="000000" w:themeColor="text1"/>
          <w:sz w:val="24"/>
          <w14:textFill>
            <w14:solidFill>
              <w14:schemeClr w14:val="tx1"/>
            </w14:solidFill>
          </w14:textFill>
        </w:rPr>
        <w:t>2.交货地点：</w:t>
      </w:r>
    </w:p>
    <w:p>
      <w:pPr>
        <w:keepNext w:val="0"/>
        <w:keepLines w:val="0"/>
        <w:pageBreakBefore w:val="0"/>
        <w:widowControl w:val="0"/>
        <w:kinsoku/>
        <w:wordWrap/>
        <w:overflowPunct/>
        <w:topLinePunct w:val="0"/>
        <w:autoSpaceDE/>
        <w:autoSpaceDN/>
        <w:bidi w:val="0"/>
        <w:adjustRightInd/>
        <w:snapToGrid w:val="0"/>
        <w:spacing w:before="156" w:after="156" w:line="240" w:lineRule="auto"/>
        <w:textAlignment w:val="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十、付款方式</w:t>
      </w:r>
    </w:p>
    <w:p>
      <w:pPr>
        <w:keepNext w:val="0"/>
        <w:keepLines w:val="0"/>
        <w:pageBreakBefore w:val="0"/>
        <w:widowControl w:val="0"/>
        <w:kinsoku/>
        <w:wordWrap/>
        <w:overflowPunct/>
        <w:topLinePunct w:val="0"/>
        <w:autoSpaceDE/>
        <w:autoSpaceDN/>
        <w:bidi w:val="0"/>
        <w:adjustRightInd/>
        <w:snapToGrid w:val="0"/>
        <w:spacing w:before="156" w:after="156" w:line="240" w:lineRule="auto"/>
        <w:textAlignment w:val="auto"/>
        <w:rPr>
          <w:rFonts w:ascii="宋体" w:hAnsi="宋体" w:cs="宋体"/>
          <w:b/>
          <w:color w:val="000000" w:themeColor="text1"/>
          <w:sz w:val="24"/>
          <w:szCs w:val="20"/>
          <w14:textFill>
            <w14:solidFill>
              <w14:schemeClr w14:val="tx1"/>
            </w14:solidFill>
          </w14:textFill>
        </w:rPr>
      </w:pPr>
      <w:r>
        <w:rPr>
          <w:rFonts w:ascii="宋体" w:hAnsi="宋体" w:cs="宋体"/>
          <w:b/>
          <w:color w:val="000000" w:themeColor="text1"/>
          <w:sz w:val="24"/>
          <w14:textFill>
            <w14:solidFill>
              <w14:schemeClr w14:val="tx1"/>
            </w14:solidFill>
          </w14:textFill>
        </w:rPr>
        <w:t>十一、税费</w:t>
      </w:r>
    </w:p>
    <w:p>
      <w:pPr>
        <w:keepNext w:val="0"/>
        <w:keepLines w:val="0"/>
        <w:pageBreakBefore w:val="0"/>
        <w:widowControl w:val="0"/>
        <w:kinsoku/>
        <w:wordWrap/>
        <w:overflowPunct/>
        <w:topLinePunct w:val="0"/>
        <w:autoSpaceDE/>
        <w:autoSpaceDN/>
        <w:bidi w:val="0"/>
        <w:adjustRightInd/>
        <w:snapToGrid w:val="0"/>
        <w:spacing w:before="156" w:after="156" w:line="240" w:lineRule="auto"/>
        <w:textAlignment w:val="auto"/>
        <w:rPr>
          <w:rFonts w:ascii="宋体" w:hAnsi="宋体" w:cs="宋体"/>
          <w:color w:val="000000" w:themeColor="text1"/>
          <w:sz w:val="24"/>
          <w:szCs w:val="20"/>
          <w14:textFill>
            <w14:solidFill>
              <w14:schemeClr w14:val="tx1"/>
            </w14:solidFill>
          </w14:textFill>
        </w:rPr>
      </w:pPr>
      <w:r>
        <w:rPr>
          <w:rFonts w:ascii="宋体" w:hAnsi="宋体" w:cs="宋体"/>
          <w:color w:val="000000" w:themeColor="text1"/>
          <w:sz w:val="24"/>
          <w14:textFill>
            <w14:solidFill>
              <w14:schemeClr w14:val="tx1"/>
            </w14:solidFill>
          </w14:textFill>
        </w:rPr>
        <w:t>本合同执行中相关的一切税费均由乙方负担。</w:t>
      </w:r>
    </w:p>
    <w:p>
      <w:pPr>
        <w:keepNext w:val="0"/>
        <w:keepLines w:val="0"/>
        <w:pageBreakBefore w:val="0"/>
        <w:widowControl w:val="0"/>
        <w:kinsoku/>
        <w:wordWrap/>
        <w:overflowPunct/>
        <w:topLinePunct w:val="0"/>
        <w:autoSpaceDE/>
        <w:autoSpaceDN/>
        <w:bidi w:val="0"/>
        <w:adjustRightInd/>
        <w:snapToGrid w:val="0"/>
        <w:spacing w:before="156" w:after="156" w:line="240" w:lineRule="auto"/>
        <w:ind w:left="412" w:hanging="412"/>
        <w:textAlignment w:val="auto"/>
        <w:rPr>
          <w:rFonts w:ascii="宋体" w:hAnsi="宋体" w:cs="宋体"/>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十二、质量保证及售后服务</w:t>
      </w:r>
    </w:p>
    <w:p>
      <w:pPr>
        <w:keepNext w:val="0"/>
        <w:keepLines w:val="0"/>
        <w:pageBreakBefore w:val="0"/>
        <w:widowControl w:val="0"/>
        <w:tabs>
          <w:tab w:val="left" w:pos="0"/>
        </w:tabs>
        <w:kinsoku/>
        <w:wordWrap/>
        <w:overflowPunct/>
        <w:topLinePunct w:val="0"/>
        <w:autoSpaceDE/>
        <w:autoSpaceDN/>
        <w:bidi w:val="0"/>
        <w:adjustRightInd/>
        <w:snapToGrid w:val="0"/>
        <w:spacing w:before="156" w:after="156" w:line="240" w:lineRule="auto"/>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ascii="宋体" w:hAnsi="宋体" w:cs="宋体"/>
          <w:color w:val="000000" w:themeColor="text1"/>
          <w:sz w:val="24"/>
          <w14:textFill>
            <w14:solidFill>
              <w14:schemeClr w14:val="tx1"/>
            </w14:solidFill>
          </w14:textFill>
        </w:rPr>
        <w:t>.乙方应按招标文件规定的货物性能、技术要求、质量标准向甲方提供</w:t>
      </w:r>
    </w:p>
    <w:p>
      <w:pPr>
        <w:keepNext w:val="0"/>
        <w:keepLines w:val="0"/>
        <w:pageBreakBefore w:val="0"/>
        <w:widowControl w:val="0"/>
        <w:kinsoku/>
        <w:wordWrap/>
        <w:overflowPunct/>
        <w:topLinePunct w:val="0"/>
        <w:autoSpaceDE/>
        <w:autoSpaceDN/>
        <w:bidi w:val="0"/>
        <w:adjustRightInd/>
        <w:snapToGrid w:val="0"/>
        <w:spacing w:before="156" w:after="156" w:line="240" w:lineRule="auto"/>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未经使用的全新产品。</w:t>
      </w:r>
    </w:p>
    <w:p>
      <w:pPr>
        <w:keepNext w:val="0"/>
        <w:keepLines w:val="0"/>
        <w:pageBreakBefore w:val="0"/>
        <w:widowControl w:val="0"/>
        <w:kinsoku/>
        <w:wordWrap/>
        <w:overflowPunct/>
        <w:topLinePunct w:val="0"/>
        <w:autoSpaceDE/>
        <w:autoSpaceDN/>
        <w:bidi w:val="0"/>
        <w:adjustRightInd/>
        <w:snapToGrid w:val="0"/>
        <w:spacing w:before="156" w:after="156" w:line="240" w:lineRule="auto"/>
        <w:ind w:left="480" w:hanging="480"/>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 乙方提供的货物在质保期内因货物本身的质量问题发生故障，乙方应负责免费更</w:t>
      </w:r>
    </w:p>
    <w:p>
      <w:pPr>
        <w:keepNext w:val="0"/>
        <w:keepLines w:val="0"/>
        <w:pageBreakBefore w:val="0"/>
        <w:widowControl w:val="0"/>
        <w:kinsoku/>
        <w:wordWrap/>
        <w:overflowPunct/>
        <w:topLinePunct w:val="0"/>
        <w:autoSpaceDE/>
        <w:autoSpaceDN/>
        <w:bidi w:val="0"/>
        <w:adjustRightInd/>
        <w:snapToGrid w:val="0"/>
        <w:spacing w:before="156" w:after="156" w:line="240" w:lineRule="auto"/>
        <w:ind w:left="480" w:hanging="480"/>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换。对达不到技术要求者，根据实际情况，经双方协商，可按以下办法处理：</w:t>
      </w:r>
    </w:p>
    <w:p>
      <w:pPr>
        <w:keepNext w:val="0"/>
        <w:keepLines w:val="0"/>
        <w:pageBreakBefore w:val="0"/>
        <w:widowControl w:val="0"/>
        <w:kinsoku/>
        <w:wordWrap/>
        <w:overflowPunct/>
        <w:topLinePunct w:val="0"/>
        <w:autoSpaceDE/>
        <w:autoSpaceDN/>
        <w:bidi w:val="0"/>
        <w:adjustRightInd/>
        <w:snapToGrid w:val="0"/>
        <w:spacing w:before="156" w:after="156" w:line="240" w:lineRule="auto"/>
        <w:ind w:firstLine="420"/>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⑴更换：由乙方承担所发生的全部费用。</w:t>
      </w:r>
    </w:p>
    <w:p>
      <w:pPr>
        <w:keepNext w:val="0"/>
        <w:keepLines w:val="0"/>
        <w:pageBreakBefore w:val="0"/>
        <w:widowControl w:val="0"/>
        <w:kinsoku/>
        <w:wordWrap/>
        <w:overflowPunct/>
        <w:topLinePunct w:val="0"/>
        <w:autoSpaceDE/>
        <w:autoSpaceDN/>
        <w:bidi w:val="0"/>
        <w:adjustRightInd/>
        <w:snapToGrid w:val="0"/>
        <w:spacing w:before="156" w:after="156" w:line="240" w:lineRule="auto"/>
        <w:ind w:firstLine="420"/>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⑵贬值处理：由甲乙双方合议定价。</w:t>
      </w:r>
    </w:p>
    <w:p>
      <w:pPr>
        <w:keepNext w:val="0"/>
        <w:keepLines w:val="0"/>
        <w:pageBreakBefore w:val="0"/>
        <w:widowControl w:val="0"/>
        <w:kinsoku/>
        <w:wordWrap/>
        <w:overflowPunct/>
        <w:topLinePunct w:val="0"/>
        <w:autoSpaceDE/>
        <w:autoSpaceDN/>
        <w:bidi w:val="0"/>
        <w:adjustRightInd/>
        <w:snapToGrid w:val="0"/>
        <w:spacing w:before="120" w:after="120" w:line="240" w:lineRule="auto"/>
        <w:ind w:left="420"/>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⑶退货处理：乙方应退还甲方支付的合同款，同时应承担该货物的直接费用（运输、保险、检验、货款利息及银行手续费等）。</w:t>
      </w:r>
    </w:p>
    <w:p>
      <w:pPr>
        <w:keepNext w:val="0"/>
        <w:keepLines w:val="0"/>
        <w:pageBreakBefore w:val="0"/>
        <w:widowControl w:val="0"/>
        <w:kinsoku/>
        <w:wordWrap/>
        <w:overflowPunct/>
        <w:topLinePunct w:val="0"/>
        <w:autoSpaceDE/>
        <w:autoSpaceDN/>
        <w:bidi w:val="0"/>
        <w:adjustRightInd/>
        <w:snapToGrid w:val="0"/>
        <w:spacing w:before="156" w:after="156" w:line="240" w:lineRule="auto"/>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 如在使用过程中发生质量问题，乙方在接到甲方通知后在小时内到达甲方现场。</w:t>
      </w:r>
    </w:p>
    <w:p>
      <w:pPr>
        <w:keepNext w:val="0"/>
        <w:keepLines w:val="0"/>
        <w:pageBreakBefore w:val="0"/>
        <w:widowControl w:val="0"/>
        <w:kinsoku/>
        <w:wordWrap/>
        <w:overflowPunct/>
        <w:topLinePunct w:val="0"/>
        <w:autoSpaceDE/>
        <w:autoSpaceDN/>
        <w:bidi w:val="0"/>
        <w:adjustRightInd/>
        <w:snapToGrid w:val="0"/>
        <w:spacing w:before="156" w:after="156" w:line="240" w:lineRule="auto"/>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4. 在质保期内，乙方应对货物出现的质量及安全问题负责处理解决并承担一切费用。</w:t>
      </w:r>
    </w:p>
    <w:p>
      <w:pPr>
        <w:keepNext w:val="0"/>
        <w:keepLines w:val="0"/>
        <w:pageBreakBefore w:val="0"/>
        <w:widowControl w:val="0"/>
        <w:kinsoku/>
        <w:wordWrap/>
        <w:overflowPunct/>
        <w:topLinePunct w:val="0"/>
        <w:autoSpaceDE/>
        <w:autoSpaceDN/>
        <w:bidi w:val="0"/>
        <w:adjustRightInd/>
        <w:snapToGrid w:val="0"/>
        <w:spacing w:before="156" w:after="156" w:line="240" w:lineRule="auto"/>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5.上述的货物免费保修期为</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lang w:val="en-US" w:eastAsia="zh-CN"/>
          <w14:textFill>
            <w14:solidFill>
              <w14:schemeClr w14:val="tx1"/>
            </w14:solidFill>
          </w14:textFill>
        </w:rPr>
        <w:t>2</w:t>
      </w:r>
      <w:r>
        <w:rPr>
          <w:rFonts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年，因人为因素出现的故障不在免费保修范围内。超过保修期的机器货物，终生维修，维修时只收部件成本费。</w:t>
      </w:r>
    </w:p>
    <w:p>
      <w:pPr>
        <w:keepNext w:val="0"/>
        <w:keepLines w:val="0"/>
        <w:pageBreakBefore w:val="0"/>
        <w:widowControl w:val="0"/>
        <w:kinsoku/>
        <w:wordWrap/>
        <w:overflowPunct/>
        <w:topLinePunct w:val="0"/>
        <w:autoSpaceDE/>
        <w:autoSpaceDN/>
        <w:bidi w:val="0"/>
        <w:adjustRightInd/>
        <w:snapToGrid w:val="0"/>
        <w:spacing w:before="156" w:after="156" w:line="240" w:lineRule="auto"/>
        <w:textAlignment w:val="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十三、调试和验收</w:t>
      </w:r>
    </w:p>
    <w:p>
      <w:pPr>
        <w:keepNext w:val="0"/>
        <w:keepLines w:val="0"/>
        <w:pageBreakBefore w:val="0"/>
        <w:widowControl w:val="0"/>
        <w:kinsoku/>
        <w:wordWrap/>
        <w:overflowPunct/>
        <w:topLinePunct w:val="0"/>
        <w:autoSpaceDE/>
        <w:autoSpaceDN/>
        <w:bidi w:val="0"/>
        <w:adjustRightInd/>
        <w:snapToGrid w:val="0"/>
        <w:spacing w:before="156" w:after="156" w:line="240" w:lineRule="auto"/>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甲方对乙方提交的货物依据招标文件上的技术规格要求和国家有关质量标准进行现场初步验收，外观、说明书符合招标文件技术要求的，给予签收，初步验收不合格的不予签收。货到后，甲方需在五个工作日内验收。</w:t>
      </w:r>
    </w:p>
    <w:p>
      <w:pPr>
        <w:keepNext w:val="0"/>
        <w:keepLines w:val="0"/>
        <w:pageBreakBefore w:val="0"/>
        <w:widowControl w:val="0"/>
        <w:kinsoku/>
        <w:wordWrap/>
        <w:overflowPunct/>
        <w:topLinePunct w:val="0"/>
        <w:autoSpaceDE/>
        <w:autoSpaceDN/>
        <w:bidi w:val="0"/>
        <w:adjustRightInd/>
        <w:snapToGrid w:val="0"/>
        <w:spacing w:before="156" w:after="156" w:line="240" w:lineRule="auto"/>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 乙方交货前应对产品作出全面检查和对验收文件进行整理，并列出清单，作为甲方收货验收和使用的技术条件依据，检验的结果应随货物交甲方。</w:t>
      </w:r>
    </w:p>
    <w:p>
      <w:pPr>
        <w:keepNext w:val="0"/>
        <w:keepLines w:val="0"/>
        <w:pageBreakBefore w:val="0"/>
        <w:widowControl w:val="0"/>
        <w:kinsoku/>
        <w:wordWrap/>
        <w:overflowPunct/>
        <w:topLinePunct w:val="0"/>
        <w:autoSpaceDE/>
        <w:autoSpaceDN/>
        <w:bidi w:val="0"/>
        <w:adjustRightInd/>
        <w:snapToGrid w:val="0"/>
        <w:spacing w:before="156" w:after="156" w:line="240" w:lineRule="auto"/>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 甲方对乙方提供的货物在使用前进行调试时，乙方需负责安装并培训甲方的使用操作人员，并协助甲方一起调试，直到符合技术要求，甲方才做最终验收。</w:t>
      </w:r>
    </w:p>
    <w:p>
      <w:pPr>
        <w:keepNext w:val="0"/>
        <w:keepLines w:val="0"/>
        <w:pageBreakBefore w:val="0"/>
        <w:widowControl w:val="0"/>
        <w:kinsoku/>
        <w:wordWrap/>
        <w:overflowPunct/>
        <w:topLinePunct w:val="0"/>
        <w:autoSpaceDE/>
        <w:autoSpaceDN/>
        <w:bidi w:val="0"/>
        <w:adjustRightInd/>
        <w:snapToGrid w:val="0"/>
        <w:spacing w:before="156" w:after="156" w:line="240" w:lineRule="auto"/>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4. 对技术复杂的货物，甲方应请国家认可的专业检测机构参与初步验收及最终验收，并由其出具质量检测报告。</w:t>
      </w:r>
    </w:p>
    <w:p>
      <w:pPr>
        <w:keepNext w:val="0"/>
        <w:keepLines w:val="0"/>
        <w:pageBreakBefore w:val="0"/>
        <w:widowControl w:val="0"/>
        <w:kinsoku/>
        <w:wordWrap/>
        <w:overflowPunct/>
        <w:topLinePunct w:val="0"/>
        <w:autoSpaceDE/>
        <w:autoSpaceDN/>
        <w:bidi w:val="0"/>
        <w:adjustRightInd/>
        <w:snapToGrid w:val="0"/>
        <w:spacing w:before="156" w:after="156" w:line="240" w:lineRule="auto"/>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5. 验收时乙方必须在现场，验收完毕后作出验收结果报告；验收费用由乙方负责。</w:t>
      </w:r>
    </w:p>
    <w:p>
      <w:pPr>
        <w:keepNext w:val="0"/>
        <w:keepLines w:val="0"/>
        <w:pageBreakBefore w:val="0"/>
        <w:widowControl w:val="0"/>
        <w:kinsoku/>
        <w:wordWrap/>
        <w:overflowPunct/>
        <w:topLinePunct w:val="0"/>
        <w:autoSpaceDE/>
        <w:autoSpaceDN/>
        <w:bidi w:val="0"/>
        <w:adjustRightInd/>
        <w:snapToGrid w:val="0"/>
        <w:spacing w:before="156" w:after="156" w:line="240" w:lineRule="auto"/>
        <w:textAlignment w:val="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十四、货物包装、发运及运输</w:t>
      </w:r>
    </w:p>
    <w:p>
      <w:pPr>
        <w:keepNext w:val="0"/>
        <w:keepLines w:val="0"/>
        <w:pageBreakBefore w:val="0"/>
        <w:widowControl w:val="0"/>
        <w:kinsoku/>
        <w:wordWrap/>
        <w:overflowPunct/>
        <w:topLinePunct w:val="0"/>
        <w:autoSpaceDE/>
        <w:autoSpaceDN/>
        <w:bidi w:val="0"/>
        <w:adjustRightInd/>
        <w:snapToGrid w:val="0"/>
        <w:spacing w:before="156" w:after="156" w:line="240" w:lineRule="auto"/>
        <w:ind w:left="480" w:hanging="480"/>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 乙方应在货物发运前对其进行满足运输距离、防潮、防震、防锈和防破损装卸等</w:t>
      </w:r>
      <w:r>
        <w:rPr>
          <w:rFonts w:hint="eastAsia" w:ascii="宋体" w:hAnsi="宋体" w:cs="宋体"/>
          <w:color w:val="000000" w:themeColor="text1"/>
          <w:sz w:val="24"/>
          <w14:textFill>
            <w14:solidFill>
              <w14:schemeClr w14:val="tx1"/>
            </w14:solidFill>
          </w14:textFill>
        </w:rPr>
        <w:t>要</w:t>
      </w:r>
    </w:p>
    <w:p>
      <w:pPr>
        <w:keepNext w:val="0"/>
        <w:keepLines w:val="0"/>
        <w:pageBreakBefore w:val="0"/>
        <w:widowControl w:val="0"/>
        <w:kinsoku/>
        <w:wordWrap/>
        <w:overflowPunct/>
        <w:topLinePunct w:val="0"/>
        <w:autoSpaceDE/>
        <w:autoSpaceDN/>
        <w:bidi w:val="0"/>
        <w:adjustRightInd/>
        <w:snapToGrid w:val="0"/>
        <w:spacing w:before="156" w:after="156" w:line="240" w:lineRule="auto"/>
        <w:ind w:left="480" w:hanging="480"/>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求包装，以保证货物安全运达甲方指定地点。</w:t>
      </w:r>
    </w:p>
    <w:p>
      <w:pPr>
        <w:keepNext w:val="0"/>
        <w:keepLines w:val="0"/>
        <w:pageBreakBefore w:val="0"/>
        <w:widowControl w:val="0"/>
        <w:kinsoku/>
        <w:wordWrap/>
        <w:overflowPunct/>
        <w:topLinePunct w:val="0"/>
        <w:autoSpaceDE/>
        <w:autoSpaceDN/>
        <w:bidi w:val="0"/>
        <w:adjustRightInd/>
        <w:snapToGrid w:val="0"/>
        <w:spacing w:before="156" w:after="156" w:line="240" w:lineRule="auto"/>
        <w:ind w:left="480" w:hanging="480"/>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 使用说明书、质量检验证明书、随配附件和工具以及清单一并附于货物内。</w:t>
      </w:r>
    </w:p>
    <w:p>
      <w:pPr>
        <w:keepNext w:val="0"/>
        <w:keepLines w:val="0"/>
        <w:pageBreakBefore w:val="0"/>
        <w:widowControl w:val="0"/>
        <w:kinsoku/>
        <w:wordWrap/>
        <w:overflowPunct/>
        <w:topLinePunct w:val="0"/>
        <w:autoSpaceDE/>
        <w:autoSpaceDN/>
        <w:bidi w:val="0"/>
        <w:adjustRightInd/>
        <w:snapToGrid w:val="0"/>
        <w:spacing w:before="156" w:after="156" w:line="240" w:lineRule="auto"/>
        <w:ind w:left="480" w:hanging="480"/>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 乙方在货物发运手续办理完毕后24小时内或货到甲方48小时前通知甲方，以准备</w:t>
      </w:r>
    </w:p>
    <w:p>
      <w:pPr>
        <w:keepNext w:val="0"/>
        <w:keepLines w:val="0"/>
        <w:pageBreakBefore w:val="0"/>
        <w:widowControl w:val="0"/>
        <w:kinsoku/>
        <w:wordWrap/>
        <w:overflowPunct/>
        <w:topLinePunct w:val="0"/>
        <w:autoSpaceDE/>
        <w:autoSpaceDN/>
        <w:bidi w:val="0"/>
        <w:adjustRightInd/>
        <w:snapToGrid w:val="0"/>
        <w:spacing w:before="156" w:after="156" w:line="240" w:lineRule="auto"/>
        <w:ind w:left="480" w:hanging="480"/>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接货。</w:t>
      </w:r>
    </w:p>
    <w:p>
      <w:pPr>
        <w:keepNext w:val="0"/>
        <w:keepLines w:val="0"/>
        <w:pageBreakBefore w:val="0"/>
        <w:widowControl w:val="0"/>
        <w:kinsoku/>
        <w:wordWrap/>
        <w:overflowPunct/>
        <w:topLinePunct w:val="0"/>
        <w:autoSpaceDE/>
        <w:autoSpaceDN/>
        <w:bidi w:val="0"/>
        <w:adjustRightInd/>
        <w:snapToGrid w:val="0"/>
        <w:spacing w:before="156" w:after="156" w:line="240" w:lineRule="auto"/>
        <w:ind w:left="480" w:hanging="480"/>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4. 货物在交付甲方前发生的风险均由乙方负责。</w:t>
      </w:r>
    </w:p>
    <w:p>
      <w:pPr>
        <w:keepNext w:val="0"/>
        <w:keepLines w:val="0"/>
        <w:pageBreakBefore w:val="0"/>
        <w:widowControl w:val="0"/>
        <w:kinsoku/>
        <w:wordWrap/>
        <w:overflowPunct/>
        <w:topLinePunct w:val="0"/>
        <w:autoSpaceDE/>
        <w:autoSpaceDN/>
        <w:bidi w:val="0"/>
        <w:adjustRightInd/>
        <w:snapToGrid w:val="0"/>
        <w:spacing w:before="156" w:after="156" w:line="240" w:lineRule="auto"/>
        <w:ind w:left="480" w:right="26" w:hanging="480"/>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5. 货物在规定的交付期限内由乙方送达甲方指定的地点视为交付，乙方同时需通知甲</w:t>
      </w:r>
    </w:p>
    <w:p>
      <w:pPr>
        <w:keepNext w:val="0"/>
        <w:keepLines w:val="0"/>
        <w:pageBreakBefore w:val="0"/>
        <w:widowControl w:val="0"/>
        <w:kinsoku/>
        <w:wordWrap/>
        <w:overflowPunct/>
        <w:topLinePunct w:val="0"/>
        <w:autoSpaceDE/>
        <w:autoSpaceDN/>
        <w:bidi w:val="0"/>
        <w:adjustRightInd/>
        <w:snapToGrid w:val="0"/>
        <w:spacing w:before="156" w:after="156" w:line="240" w:lineRule="auto"/>
        <w:ind w:left="480" w:right="26" w:hanging="480"/>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方货物已送达。</w:t>
      </w:r>
    </w:p>
    <w:p>
      <w:pPr>
        <w:keepNext w:val="0"/>
        <w:keepLines w:val="0"/>
        <w:pageBreakBefore w:val="0"/>
        <w:widowControl w:val="0"/>
        <w:kinsoku/>
        <w:wordWrap/>
        <w:overflowPunct/>
        <w:topLinePunct w:val="0"/>
        <w:autoSpaceDE/>
        <w:autoSpaceDN/>
        <w:bidi w:val="0"/>
        <w:adjustRightInd/>
        <w:snapToGrid w:val="0"/>
        <w:spacing w:before="156" w:after="156" w:line="240" w:lineRule="auto"/>
        <w:textAlignment w:val="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十五、违约责任</w:t>
      </w:r>
    </w:p>
    <w:p>
      <w:pPr>
        <w:keepNext w:val="0"/>
        <w:keepLines w:val="0"/>
        <w:pageBreakBefore w:val="0"/>
        <w:widowControl w:val="0"/>
        <w:kinsoku/>
        <w:wordWrap/>
        <w:overflowPunct/>
        <w:topLinePunct w:val="0"/>
        <w:autoSpaceDE/>
        <w:autoSpaceDN/>
        <w:bidi w:val="0"/>
        <w:adjustRightInd/>
        <w:snapToGrid w:val="0"/>
        <w:spacing w:before="156" w:after="156" w:line="240" w:lineRule="auto"/>
        <w:ind w:left="410" w:hanging="410"/>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 甲方无正当理由拒收货物的，甲方向乙方偿付拒收货款总值的百分之五违约金。</w:t>
      </w:r>
    </w:p>
    <w:p>
      <w:pPr>
        <w:keepNext w:val="0"/>
        <w:keepLines w:val="0"/>
        <w:pageBreakBefore w:val="0"/>
        <w:widowControl w:val="0"/>
        <w:kinsoku/>
        <w:wordWrap/>
        <w:overflowPunct/>
        <w:topLinePunct w:val="0"/>
        <w:autoSpaceDE/>
        <w:autoSpaceDN/>
        <w:bidi w:val="0"/>
        <w:adjustRightInd/>
        <w:snapToGrid w:val="0"/>
        <w:spacing w:before="156" w:after="156" w:line="240" w:lineRule="auto"/>
        <w:ind w:left="410" w:hanging="410"/>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 甲方无故逾期验收和办理货款支付手续的,甲方应按逾期付款总额每日万分之五向</w:t>
      </w:r>
    </w:p>
    <w:p>
      <w:pPr>
        <w:keepNext w:val="0"/>
        <w:keepLines w:val="0"/>
        <w:pageBreakBefore w:val="0"/>
        <w:widowControl w:val="0"/>
        <w:kinsoku/>
        <w:wordWrap/>
        <w:overflowPunct/>
        <w:topLinePunct w:val="0"/>
        <w:autoSpaceDE/>
        <w:autoSpaceDN/>
        <w:bidi w:val="0"/>
        <w:adjustRightInd/>
        <w:snapToGrid w:val="0"/>
        <w:spacing w:before="156" w:after="156" w:line="240" w:lineRule="auto"/>
        <w:ind w:left="410" w:hanging="410"/>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乙方支付违约金。</w:t>
      </w:r>
    </w:p>
    <w:p>
      <w:pPr>
        <w:keepNext w:val="0"/>
        <w:keepLines w:val="0"/>
        <w:pageBreakBefore w:val="0"/>
        <w:widowControl w:val="0"/>
        <w:kinsoku/>
        <w:wordWrap/>
        <w:overflowPunct/>
        <w:topLinePunct w:val="0"/>
        <w:autoSpaceDE/>
        <w:autoSpaceDN/>
        <w:bidi w:val="0"/>
        <w:adjustRightInd/>
        <w:snapToGrid w:val="0"/>
        <w:spacing w:before="156" w:after="156" w:line="240" w:lineRule="auto"/>
        <w:ind w:left="410" w:hanging="410"/>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 乙方逾期交付货物的，乙方应按逾期交货总额每日千分之六向甲方支付违约金，由</w:t>
      </w:r>
    </w:p>
    <w:p>
      <w:pPr>
        <w:keepNext w:val="0"/>
        <w:keepLines w:val="0"/>
        <w:pageBreakBefore w:val="0"/>
        <w:widowControl w:val="0"/>
        <w:kinsoku/>
        <w:wordWrap/>
        <w:overflowPunct/>
        <w:topLinePunct w:val="0"/>
        <w:autoSpaceDE/>
        <w:autoSpaceDN/>
        <w:bidi w:val="0"/>
        <w:adjustRightInd/>
        <w:snapToGrid w:val="0"/>
        <w:spacing w:before="156" w:after="156" w:line="240" w:lineRule="auto"/>
        <w:ind w:left="410" w:hanging="410"/>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甲方从待付货款中扣除。逾期超过约定日期10个工作日不能交货的，甲方可解除本合</w:t>
      </w:r>
    </w:p>
    <w:p>
      <w:pPr>
        <w:keepNext w:val="0"/>
        <w:keepLines w:val="0"/>
        <w:pageBreakBefore w:val="0"/>
        <w:widowControl w:val="0"/>
        <w:kinsoku/>
        <w:wordWrap/>
        <w:overflowPunct/>
        <w:topLinePunct w:val="0"/>
        <w:autoSpaceDE/>
        <w:autoSpaceDN/>
        <w:bidi w:val="0"/>
        <w:adjustRightInd/>
        <w:snapToGrid w:val="0"/>
        <w:spacing w:before="156" w:after="156" w:line="240" w:lineRule="auto"/>
        <w:ind w:left="410" w:hanging="410"/>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同。乙方因逾期交货或因其他违约行为导致甲方解除合同的，乙方应向甲方支付合同</w:t>
      </w:r>
    </w:p>
    <w:p>
      <w:pPr>
        <w:keepNext w:val="0"/>
        <w:keepLines w:val="0"/>
        <w:pageBreakBefore w:val="0"/>
        <w:widowControl w:val="0"/>
        <w:kinsoku/>
        <w:wordWrap/>
        <w:overflowPunct/>
        <w:topLinePunct w:val="0"/>
        <w:autoSpaceDE/>
        <w:autoSpaceDN/>
        <w:bidi w:val="0"/>
        <w:adjustRightInd/>
        <w:snapToGrid w:val="0"/>
        <w:spacing w:before="156" w:after="156" w:line="240" w:lineRule="auto"/>
        <w:ind w:left="410" w:hanging="410"/>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总值5%的违约金，如造成甲方损失超过违约金的，超出部分由乙方继续承担赔偿</w:t>
      </w:r>
      <w:r>
        <w:rPr>
          <w:rFonts w:hint="eastAsia" w:ascii="宋体" w:hAnsi="宋体" w:cs="宋体"/>
          <w:color w:val="000000" w:themeColor="text1"/>
          <w:sz w:val="24"/>
          <w14:textFill>
            <w14:solidFill>
              <w14:schemeClr w14:val="tx1"/>
            </w14:solidFill>
          </w14:textFill>
        </w:rPr>
        <w:t>责</w:t>
      </w:r>
    </w:p>
    <w:p>
      <w:pPr>
        <w:keepNext w:val="0"/>
        <w:keepLines w:val="0"/>
        <w:pageBreakBefore w:val="0"/>
        <w:widowControl w:val="0"/>
        <w:kinsoku/>
        <w:wordWrap/>
        <w:overflowPunct/>
        <w:topLinePunct w:val="0"/>
        <w:autoSpaceDE/>
        <w:autoSpaceDN/>
        <w:bidi w:val="0"/>
        <w:adjustRightInd/>
        <w:snapToGrid w:val="0"/>
        <w:spacing w:before="156" w:after="156" w:line="240" w:lineRule="auto"/>
        <w:ind w:left="410" w:hanging="410"/>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xml:space="preserve">任。 </w:t>
      </w:r>
    </w:p>
    <w:p>
      <w:pPr>
        <w:keepNext w:val="0"/>
        <w:keepLines w:val="0"/>
        <w:pageBreakBefore w:val="0"/>
        <w:widowControl w:val="0"/>
        <w:kinsoku/>
        <w:wordWrap/>
        <w:overflowPunct/>
        <w:topLinePunct w:val="0"/>
        <w:autoSpaceDE/>
        <w:autoSpaceDN/>
        <w:bidi w:val="0"/>
        <w:adjustRightInd/>
        <w:snapToGrid w:val="0"/>
        <w:spacing w:before="156" w:after="156" w:line="240" w:lineRule="auto"/>
        <w:ind w:left="410" w:hanging="410"/>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4. 乙方所交的货物品种、型号、规格、技术参数、质量不符合合同规定及招标文件规</w:t>
      </w:r>
    </w:p>
    <w:p>
      <w:pPr>
        <w:keepNext w:val="0"/>
        <w:keepLines w:val="0"/>
        <w:pageBreakBefore w:val="0"/>
        <w:widowControl w:val="0"/>
        <w:kinsoku/>
        <w:wordWrap/>
        <w:overflowPunct/>
        <w:topLinePunct w:val="0"/>
        <w:autoSpaceDE/>
        <w:autoSpaceDN/>
        <w:bidi w:val="0"/>
        <w:adjustRightInd/>
        <w:snapToGrid w:val="0"/>
        <w:spacing w:before="156" w:after="156" w:line="240" w:lineRule="auto"/>
        <w:ind w:left="410" w:hanging="410"/>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定标准的，甲方有权拒收该货物，乙方愿意更换货物但逾期交货的，按乙方逾期交货</w:t>
      </w:r>
    </w:p>
    <w:p>
      <w:pPr>
        <w:keepNext w:val="0"/>
        <w:keepLines w:val="0"/>
        <w:pageBreakBefore w:val="0"/>
        <w:widowControl w:val="0"/>
        <w:kinsoku/>
        <w:wordWrap/>
        <w:overflowPunct/>
        <w:topLinePunct w:val="0"/>
        <w:autoSpaceDE/>
        <w:autoSpaceDN/>
        <w:bidi w:val="0"/>
        <w:adjustRightInd/>
        <w:snapToGrid w:val="0"/>
        <w:spacing w:before="156" w:after="156" w:line="240" w:lineRule="auto"/>
        <w:ind w:left="410" w:hanging="410"/>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处理。乙方拒绝更换货物的，甲方可单方面解除合同。</w:t>
      </w:r>
    </w:p>
    <w:p>
      <w:pPr>
        <w:keepNext w:val="0"/>
        <w:keepLines w:val="0"/>
        <w:pageBreakBefore w:val="0"/>
        <w:widowControl w:val="0"/>
        <w:kinsoku/>
        <w:wordWrap/>
        <w:overflowPunct/>
        <w:topLinePunct w:val="0"/>
        <w:autoSpaceDE/>
        <w:autoSpaceDN/>
        <w:bidi w:val="0"/>
        <w:adjustRightInd/>
        <w:snapToGrid w:val="0"/>
        <w:spacing w:before="156" w:after="156" w:line="240" w:lineRule="auto"/>
        <w:textAlignment w:val="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十六、不可抗力事件处理</w:t>
      </w:r>
    </w:p>
    <w:p>
      <w:pPr>
        <w:keepNext w:val="0"/>
        <w:keepLines w:val="0"/>
        <w:pageBreakBefore w:val="0"/>
        <w:widowControl w:val="0"/>
        <w:kinsoku/>
        <w:wordWrap/>
        <w:overflowPunct/>
        <w:topLinePunct w:val="0"/>
        <w:autoSpaceDE/>
        <w:autoSpaceDN/>
        <w:bidi w:val="0"/>
        <w:adjustRightInd/>
        <w:snapToGrid w:val="0"/>
        <w:spacing w:before="156" w:after="156" w:line="240" w:lineRule="auto"/>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ascii="宋体" w:hAnsi="宋体" w:cs="宋体"/>
          <w:color w:val="000000" w:themeColor="text1"/>
          <w:sz w:val="24"/>
          <w14:textFill>
            <w14:solidFill>
              <w14:schemeClr w14:val="tx1"/>
            </w14:solidFill>
          </w14:textFill>
        </w:rPr>
        <w:t>.在合同有效期内，任何一方因不可抗力事件导致不能履行合同，则合同履行期可延长，其延长期与不可抗力影响期相同。</w:t>
      </w:r>
    </w:p>
    <w:p>
      <w:pPr>
        <w:keepNext w:val="0"/>
        <w:keepLines w:val="0"/>
        <w:pageBreakBefore w:val="0"/>
        <w:widowControl w:val="0"/>
        <w:kinsoku/>
        <w:wordWrap/>
        <w:overflowPunct/>
        <w:topLinePunct w:val="0"/>
        <w:autoSpaceDE/>
        <w:autoSpaceDN/>
        <w:bidi w:val="0"/>
        <w:adjustRightInd/>
        <w:snapToGrid w:val="0"/>
        <w:spacing w:before="156" w:after="156" w:line="240" w:lineRule="auto"/>
        <w:ind w:left="410" w:hanging="410"/>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 不可抗力事件发生后，应立即通知对方，并寄送有关权威机构出具的证明。</w:t>
      </w:r>
    </w:p>
    <w:p>
      <w:pPr>
        <w:keepNext w:val="0"/>
        <w:keepLines w:val="0"/>
        <w:pageBreakBefore w:val="0"/>
        <w:widowControl w:val="0"/>
        <w:kinsoku/>
        <w:wordWrap/>
        <w:overflowPunct/>
        <w:topLinePunct w:val="0"/>
        <w:autoSpaceDE/>
        <w:autoSpaceDN/>
        <w:bidi w:val="0"/>
        <w:adjustRightInd/>
        <w:snapToGrid w:val="0"/>
        <w:spacing w:before="156" w:after="156" w:line="240" w:lineRule="auto"/>
        <w:ind w:left="410" w:hanging="410"/>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 不可抗力事件延续120天以上，双方应通过友好协商，确定是否继续履行合同。</w:t>
      </w:r>
    </w:p>
    <w:p>
      <w:pPr>
        <w:keepNext w:val="0"/>
        <w:keepLines w:val="0"/>
        <w:pageBreakBefore w:val="0"/>
        <w:widowControl w:val="0"/>
        <w:kinsoku/>
        <w:wordWrap/>
        <w:overflowPunct/>
        <w:topLinePunct w:val="0"/>
        <w:autoSpaceDE/>
        <w:autoSpaceDN/>
        <w:bidi w:val="0"/>
        <w:adjustRightInd/>
        <w:snapToGrid w:val="0"/>
        <w:spacing w:before="156" w:after="156" w:line="240" w:lineRule="auto"/>
        <w:textAlignment w:val="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十七、诉讼</w:t>
      </w:r>
    </w:p>
    <w:p>
      <w:pPr>
        <w:keepNext w:val="0"/>
        <w:keepLines w:val="0"/>
        <w:pageBreakBefore w:val="0"/>
        <w:widowControl w:val="0"/>
        <w:kinsoku/>
        <w:wordWrap/>
        <w:overflowPunct/>
        <w:topLinePunct w:val="0"/>
        <w:autoSpaceDE/>
        <w:autoSpaceDN/>
        <w:bidi w:val="0"/>
        <w:adjustRightInd/>
        <w:snapToGrid w:val="0"/>
        <w:spacing w:before="156" w:after="156" w:line="240" w:lineRule="auto"/>
        <w:ind w:left="480" w:hanging="480"/>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xml:space="preserve">   双方在执行合同中所发生的一切争议，应通过协商解决。如协商不成，可向甲方所</w:t>
      </w:r>
    </w:p>
    <w:p>
      <w:pPr>
        <w:keepNext w:val="0"/>
        <w:keepLines w:val="0"/>
        <w:pageBreakBefore w:val="0"/>
        <w:widowControl w:val="0"/>
        <w:kinsoku/>
        <w:wordWrap/>
        <w:overflowPunct/>
        <w:topLinePunct w:val="0"/>
        <w:autoSpaceDE/>
        <w:autoSpaceDN/>
        <w:bidi w:val="0"/>
        <w:adjustRightInd/>
        <w:snapToGrid w:val="0"/>
        <w:spacing w:before="156" w:after="156" w:line="240" w:lineRule="auto"/>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在地、法院起诉。</w:t>
      </w:r>
    </w:p>
    <w:p>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十八、合同生效及其它</w:t>
      </w:r>
    </w:p>
    <w:p>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 合同经三方法定代表人或授权代表签字并加盖单位公章后生效。</w:t>
      </w:r>
    </w:p>
    <w:p>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2.合同执行中涉及采购资金和采购内容修改或补充的，签书面补充协议，作为主合同不可分割的一部分。</w:t>
      </w:r>
    </w:p>
    <w:p>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3.本合同未尽事宜，遵照《中华人民共和国民法典》有关条文执行。</w:t>
      </w:r>
    </w:p>
    <w:p>
      <w:pPr>
        <w:keepNext w:val="0"/>
        <w:keepLines w:val="0"/>
        <w:pageBreakBefore w:val="0"/>
        <w:widowControl w:val="0"/>
        <w:kinsoku/>
        <w:wordWrap/>
        <w:overflowPunct/>
        <w:topLinePunct w:val="0"/>
        <w:autoSpaceDE/>
        <w:autoSpaceDN/>
        <w:bidi w:val="0"/>
        <w:adjustRightInd/>
        <w:spacing w:line="240" w:lineRule="auto"/>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4.本合同一式</w:t>
      </w:r>
      <w:r>
        <w:rPr>
          <w:rFonts w:hint="eastAsia" w:ascii="宋体" w:hAnsi="宋体" w:cs="宋体"/>
          <w:color w:val="000000" w:themeColor="text1"/>
          <w:sz w:val="24"/>
          <w14:textFill>
            <w14:solidFill>
              <w14:schemeClr w14:val="tx1"/>
            </w14:solidFill>
          </w14:textFill>
        </w:rPr>
        <w:t>四</w:t>
      </w:r>
      <w:r>
        <w:rPr>
          <w:rFonts w:ascii="宋体" w:hAnsi="宋体" w:cs="宋体"/>
          <w:color w:val="000000" w:themeColor="text1"/>
          <w:sz w:val="24"/>
          <w14:textFill>
            <w14:solidFill>
              <w14:schemeClr w14:val="tx1"/>
            </w14:solidFill>
          </w14:textFill>
        </w:rPr>
        <w:t>份，招</w:t>
      </w:r>
      <w:r>
        <w:rPr>
          <w:rFonts w:hint="eastAsia" w:ascii="宋体" w:hAnsi="宋体" w:cs="宋体"/>
          <w:color w:val="000000" w:themeColor="text1"/>
          <w:sz w:val="24"/>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甲、乙双方各执二份，其都具有同等法律效力。</w:t>
      </w:r>
    </w:p>
    <w:p>
      <w:pPr>
        <w:keepNext w:val="0"/>
        <w:keepLines w:val="0"/>
        <w:pageBreakBefore w:val="0"/>
        <w:widowControl w:val="0"/>
        <w:kinsoku/>
        <w:wordWrap/>
        <w:overflowPunct/>
        <w:topLinePunct w:val="0"/>
        <w:autoSpaceDE/>
        <w:autoSpaceDN/>
        <w:bidi w:val="0"/>
        <w:adjustRightInd/>
        <w:snapToGrid w:val="0"/>
        <w:spacing w:before="120" w:after="120" w:line="240" w:lineRule="auto"/>
        <w:ind w:left="480" w:hanging="480"/>
        <w:textAlignment w:val="auto"/>
        <w:rPr>
          <w:rFonts w:ascii="宋体" w:hAnsi="宋体" w:cs="宋体"/>
          <w:color w:val="000000" w:themeColor="text1"/>
          <w:sz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before="120" w:after="120" w:line="240" w:lineRule="auto"/>
        <w:textAlignment w:val="auto"/>
        <w:rPr>
          <w:rFonts w:ascii="宋体" w:hAnsi="宋体" w:cs="宋体"/>
          <w:color w:val="000000" w:themeColor="text1"/>
          <w:sz w:val="24"/>
          <w14:textFill>
            <w14:solidFill>
              <w14:schemeClr w14:val="tx1"/>
            </w14:solidFill>
          </w14:textFill>
        </w:rPr>
      </w:pPr>
      <w:r>
        <w:rPr>
          <w:rFonts w:ascii="宋体" w:hAnsi="宋体" w:cs="宋体"/>
          <w:b/>
          <w:bCs/>
          <w:color w:val="000000" w:themeColor="text1"/>
          <w:sz w:val="24"/>
          <w14:textFill>
            <w14:solidFill>
              <w14:schemeClr w14:val="tx1"/>
            </w14:solidFill>
          </w14:textFill>
        </w:rPr>
        <w:t>甲方（盖公章）：                       乙方（盖公章）：</w:t>
      </w:r>
    </w:p>
    <w:p>
      <w:pPr>
        <w:keepNext w:val="0"/>
        <w:keepLines w:val="0"/>
        <w:pageBreakBefore w:val="0"/>
        <w:widowControl w:val="0"/>
        <w:kinsoku/>
        <w:wordWrap/>
        <w:overflowPunct/>
        <w:topLinePunct w:val="0"/>
        <w:autoSpaceDE/>
        <w:autoSpaceDN/>
        <w:bidi w:val="0"/>
        <w:adjustRightInd/>
        <w:snapToGrid w:val="0"/>
        <w:spacing w:before="120" w:after="120" w:line="240" w:lineRule="auto"/>
        <w:ind w:hanging="2"/>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法定代表人或受委托人                 法定代表人或受委托人</w:t>
      </w:r>
    </w:p>
    <w:p>
      <w:pPr>
        <w:keepNext w:val="0"/>
        <w:keepLines w:val="0"/>
        <w:pageBreakBefore w:val="0"/>
        <w:widowControl w:val="0"/>
        <w:kinsoku/>
        <w:wordWrap/>
        <w:overflowPunct/>
        <w:topLinePunct w:val="0"/>
        <w:autoSpaceDE/>
        <w:autoSpaceDN/>
        <w:bidi w:val="0"/>
        <w:adjustRightInd/>
        <w:snapToGrid w:val="0"/>
        <w:spacing w:before="120" w:after="120" w:line="240" w:lineRule="auto"/>
        <w:ind w:left="1" w:hanging="60"/>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（签字）                             （签字）</w:t>
      </w:r>
    </w:p>
    <w:p>
      <w:pPr>
        <w:keepNext w:val="0"/>
        <w:keepLines w:val="0"/>
        <w:pageBreakBefore w:val="0"/>
        <w:widowControl w:val="0"/>
        <w:kinsoku/>
        <w:wordWrap/>
        <w:overflowPunct/>
        <w:topLinePunct w:val="0"/>
        <w:autoSpaceDE/>
        <w:autoSpaceDN/>
        <w:bidi w:val="0"/>
        <w:adjustRightInd/>
        <w:snapToGrid w:val="0"/>
        <w:spacing w:before="120" w:after="120" w:line="240" w:lineRule="auto"/>
        <w:ind w:hanging="2"/>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xml:space="preserve">地址：                               地址： </w:t>
      </w:r>
    </w:p>
    <w:p>
      <w:pPr>
        <w:keepNext w:val="0"/>
        <w:keepLines w:val="0"/>
        <w:pageBreakBefore w:val="0"/>
        <w:widowControl w:val="0"/>
        <w:kinsoku/>
        <w:wordWrap/>
        <w:overflowPunct/>
        <w:topLinePunct w:val="0"/>
        <w:autoSpaceDE/>
        <w:autoSpaceDN/>
        <w:bidi w:val="0"/>
        <w:adjustRightInd/>
        <w:snapToGrid w:val="0"/>
        <w:spacing w:before="120" w:after="120" w:line="240" w:lineRule="auto"/>
        <w:ind w:hanging="2"/>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邮编：                               邮编：</w:t>
      </w:r>
    </w:p>
    <w:p>
      <w:pPr>
        <w:keepNext w:val="0"/>
        <w:keepLines w:val="0"/>
        <w:pageBreakBefore w:val="0"/>
        <w:widowControl w:val="0"/>
        <w:kinsoku/>
        <w:wordWrap/>
        <w:overflowPunct/>
        <w:topLinePunct w:val="0"/>
        <w:autoSpaceDE/>
        <w:autoSpaceDN/>
        <w:bidi w:val="0"/>
        <w:adjustRightInd/>
        <w:snapToGrid w:val="0"/>
        <w:spacing w:before="120" w:after="120" w:line="240" w:lineRule="auto"/>
        <w:ind w:hanging="2"/>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电话：                               电话：</w:t>
      </w:r>
    </w:p>
    <w:p>
      <w:pPr>
        <w:keepNext w:val="0"/>
        <w:keepLines w:val="0"/>
        <w:pageBreakBefore w:val="0"/>
        <w:widowControl w:val="0"/>
        <w:kinsoku/>
        <w:wordWrap/>
        <w:overflowPunct/>
        <w:topLinePunct w:val="0"/>
        <w:autoSpaceDE/>
        <w:autoSpaceDN/>
        <w:bidi w:val="0"/>
        <w:adjustRightInd/>
        <w:snapToGrid w:val="0"/>
        <w:spacing w:before="120" w:after="120" w:line="240" w:lineRule="auto"/>
        <w:ind w:hanging="2"/>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传真：                               传真：</w:t>
      </w:r>
    </w:p>
    <w:p>
      <w:pPr>
        <w:keepNext w:val="0"/>
        <w:keepLines w:val="0"/>
        <w:pageBreakBefore w:val="0"/>
        <w:widowControl w:val="0"/>
        <w:kinsoku/>
        <w:wordWrap/>
        <w:overflowPunct/>
        <w:topLinePunct w:val="0"/>
        <w:autoSpaceDE/>
        <w:autoSpaceDN/>
        <w:bidi w:val="0"/>
        <w:adjustRightInd/>
        <w:snapToGrid w:val="0"/>
        <w:spacing w:before="120" w:after="120" w:line="240" w:lineRule="auto"/>
        <w:ind w:hanging="2"/>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开户银行：                           开户银行：</w:t>
      </w:r>
    </w:p>
    <w:p>
      <w:pPr>
        <w:keepNext w:val="0"/>
        <w:keepLines w:val="0"/>
        <w:pageBreakBefore w:val="0"/>
        <w:widowControl w:val="0"/>
        <w:kinsoku/>
        <w:wordWrap/>
        <w:overflowPunct/>
        <w:topLinePunct w:val="0"/>
        <w:autoSpaceDE/>
        <w:autoSpaceDN/>
        <w:bidi w:val="0"/>
        <w:adjustRightInd/>
        <w:snapToGrid w:val="0"/>
        <w:spacing w:before="120" w:after="120" w:line="240" w:lineRule="auto"/>
        <w:ind w:hanging="2"/>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帐号：                               帐号：</w:t>
      </w:r>
    </w:p>
    <w:p>
      <w:pPr>
        <w:keepNext w:val="0"/>
        <w:keepLines w:val="0"/>
        <w:pageBreakBefore w:val="0"/>
        <w:widowControl w:val="0"/>
        <w:kinsoku/>
        <w:wordWrap/>
        <w:overflowPunct/>
        <w:topLinePunct w:val="0"/>
        <w:autoSpaceDE/>
        <w:autoSpaceDN/>
        <w:bidi w:val="0"/>
        <w:adjustRightInd/>
        <w:spacing w:line="240" w:lineRule="auto"/>
        <w:textAlignment w:val="auto"/>
        <w:rPr>
          <w:rFonts w:ascii="宋体" w:hAnsi="宋体" w:cs="宋体"/>
          <w:b/>
          <w:color w:val="000000" w:themeColor="text1"/>
          <w:sz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240" w:lineRule="auto"/>
        <w:textAlignment w:val="auto"/>
        <w:rPr>
          <w:rFonts w:ascii="宋体" w:hAnsi="宋体" w:cs="宋体"/>
          <w:color w:val="000000" w:themeColor="text1"/>
          <w:sz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240" w:lineRule="auto"/>
        <w:textAlignment w:val="auto"/>
        <w:rPr>
          <w:rFonts w:ascii="宋体" w:hAnsi="宋体" w:cs="宋体"/>
          <w:b/>
          <w:color w:val="000000" w:themeColor="text1"/>
          <w:sz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240" w:lineRule="auto"/>
        <w:textAlignment w:val="auto"/>
        <w:rPr>
          <w:rFonts w:ascii="宋体" w:hAnsi="宋体" w:cs="宋体"/>
          <w:b/>
          <w:color w:val="000000" w:themeColor="text1"/>
          <w:sz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注：签订合同时，可以使用项目相关国家标准合同文本。</w:t>
      </w:r>
      <w:r>
        <w:rPr>
          <w:color w:val="000000" w:themeColor="text1"/>
          <w14:textFill>
            <w14:solidFill>
              <w14:schemeClr w14:val="tx1"/>
            </w14:solidFill>
          </w14:textFill>
        </w:rPr>
        <w:br w:type="page"/>
      </w:r>
    </w:p>
    <w:p>
      <w:pPr>
        <w:pStyle w:val="5"/>
        <w:keepNext w:val="0"/>
        <w:keepLines w:val="0"/>
        <w:pageBreakBefore/>
        <w:jc w:val="center"/>
        <w:rPr>
          <w:rFonts w:ascii="宋体" w:hAnsi="宋体" w:cs="宋体"/>
          <w:sz w:val="32"/>
          <w:szCs w:val="32"/>
        </w:rPr>
      </w:pPr>
      <w:bookmarkStart w:id="11" w:name="_Toc8916"/>
      <w:bookmarkStart w:id="12" w:name="_Toc22322"/>
      <w:r>
        <w:rPr>
          <w:rFonts w:hint="eastAsia" w:ascii="宋体" w:hAnsi="宋体" w:cs="宋体"/>
          <w:sz w:val="32"/>
          <w:szCs w:val="32"/>
        </w:rPr>
        <w:t>第七章  谈判响应文件附件格式</w:t>
      </w:r>
      <w:bookmarkEnd w:id="11"/>
      <w:bookmarkEnd w:id="12"/>
    </w:p>
    <w:p>
      <w:pPr>
        <w:keepNext/>
        <w:keepLines/>
        <w:spacing w:before="260" w:after="260" w:line="416" w:lineRule="auto"/>
        <w:outlineLvl w:val="1"/>
        <w:rPr>
          <w:rFonts w:ascii="宋体" w:hAnsi="宋体" w:cs="宋体"/>
          <w:bCs/>
          <w:sz w:val="24"/>
          <w:szCs w:val="32"/>
        </w:rPr>
      </w:pPr>
      <w:bookmarkStart w:id="13" w:name="_Toc28609"/>
      <w:bookmarkStart w:id="14" w:name="_Toc3306"/>
      <w:bookmarkStart w:id="15" w:name="_Toc1620"/>
      <w:r>
        <w:rPr>
          <w:rFonts w:hint="eastAsia" w:ascii="宋体" w:hAnsi="宋体" w:cs="宋体"/>
          <w:bCs/>
          <w:sz w:val="24"/>
          <w:szCs w:val="32"/>
        </w:rPr>
        <w:t>附件一：</w:t>
      </w:r>
      <w:bookmarkEnd w:id="13"/>
      <w:r>
        <w:rPr>
          <w:rFonts w:hint="eastAsia" w:ascii="宋体" w:hAnsi="宋体" w:cs="宋体"/>
          <w:bCs/>
          <w:sz w:val="24"/>
          <w:szCs w:val="32"/>
        </w:rPr>
        <w:t>投 标 书</w:t>
      </w:r>
      <w:bookmarkEnd w:id="14"/>
      <w:bookmarkEnd w:id="15"/>
    </w:p>
    <w:p>
      <w:pPr>
        <w:jc w:val="center"/>
        <w:rPr>
          <w:rFonts w:ascii="宋体" w:hAnsi="宋体" w:cs="宋体"/>
          <w:b/>
          <w:bCs/>
          <w:sz w:val="36"/>
          <w:szCs w:val="36"/>
        </w:rPr>
      </w:pPr>
      <w:r>
        <w:rPr>
          <w:rFonts w:hint="eastAsia" w:ascii="宋体" w:hAnsi="宋体" w:cs="宋体"/>
          <w:b/>
          <w:bCs/>
          <w:sz w:val="36"/>
          <w:szCs w:val="36"/>
        </w:rPr>
        <w:t>投 标 书</w:t>
      </w:r>
    </w:p>
    <w:p>
      <w:pPr>
        <w:widowControl/>
        <w:overflowPunct w:val="0"/>
        <w:autoSpaceDE w:val="0"/>
        <w:autoSpaceDN w:val="0"/>
        <w:adjustRightInd w:val="0"/>
        <w:spacing w:line="360" w:lineRule="auto"/>
        <w:jc w:val="left"/>
        <w:textAlignment w:val="baseline"/>
        <w:rPr>
          <w:rFonts w:ascii="宋体" w:hAnsi="宋体" w:cs="宋体"/>
          <w:kern w:val="0"/>
          <w:sz w:val="24"/>
        </w:rPr>
      </w:pPr>
    </w:p>
    <w:p>
      <w:pPr>
        <w:widowControl/>
        <w:overflowPunct w:val="0"/>
        <w:autoSpaceDE w:val="0"/>
        <w:autoSpaceDN w:val="0"/>
        <w:adjustRightInd w:val="0"/>
        <w:spacing w:line="360" w:lineRule="auto"/>
        <w:jc w:val="left"/>
        <w:textAlignment w:val="baseline"/>
        <w:rPr>
          <w:rFonts w:ascii="宋体" w:hAnsi="宋体" w:cs="宋体"/>
          <w:kern w:val="0"/>
          <w:sz w:val="24"/>
        </w:rPr>
      </w:pPr>
      <w:r>
        <w:rPr>
          <w:rFonts w:hint="eastAsia" w:ascii="宋体" w:hAnsi="宋体" w:cs="宋体"/>
          <w:kern w:val="0"/>
          <w:sz w:val="24"/>
        </w:rPr>
        <w:t>致：浙江广厦建设职业技术大学</w:t>
      </w:r>
    </w:p>
    <w:p>
      <w:pPr>
        <w:widowControl/>
        <w:wordWrap w:val="0"/>
        <w:overflowPunct w:val="0"/>
        <w:autoSpaceDE w:val="0"/>
        <w:autoSpaceDN w:val="0"/>
        <w:adjustRightInd w:val="0"/>
        <w:spacing w:line="360" w:lineRule="auto"/>
        <w:ind w:firstLine="540" w:firstLineChars="225"/>
        <w:jc w:val="left"/>
        <w:textAlignment w:val="baseline"/>
        <w:rPr>
          <w:rFonts w:ascii="宋体" w:hAnsi="宋体" w:cs="宋体"/>
          <w:kern w:val="0"/>
          <w:sz w:val="24"/>
        </w:rPr>
      </w:pPr>
      <w:r>
        <w:rPr>
          <w:rFonts w:hint="eastAsia" w:ascii="宋体" w:hAnsi="宋体" w:cs="宋体"/>
          <w:kern w:val="0"/>
          <w:sz w:val="24"/>
        </w:rPr>
        <w:t>根据贵方为</w:t>
      </w:r>
      <w:r>
        <w:rPr>
          <w:rFonts w:hint="eastAsia" w:ascii="宋体" w:hAnsi="宋体" w:cs="宋体"/>
          <w:kern w:val="0"/>
          <w:sz w:val="24"/>
          <w:u w:val="single"/>
        </w:rPr>
        <w:t xml:space="preserve">                </w:t>
      </w:r>
      <w:r>
        <w:rPr>
          <w:rFonts w:hint="eastAsia" w:ascii="宋体" w:hAnsi="宋体" w:cs="宋体"/>
          <w:kern w:val="0"/>
          <w:sz w:val="24"/>
        </w:rPr>
        <w:t>项目的投标邀请</w:t>
      </w:r>
      <w:r>
        <w:rPr>
          <w:rFonts w:hint="eastAsia" w:ascii="宋体" w:hAnsi="宋体" w:cs="宋体"/>
          <w:kern w:val="0"/>
          <w:sz w:val="24"/>
          <w:u w:val="single"/>
        </w:rPr>
        <w:t xml:space="preserve">             </w:t>
      </w:r>
      <w:r>
        <w:rPr>
          <w:rFonts w:hint="eastAsia" w:ascii="宋体" w:hAnsi="宋体" w:cs="宋体"/>
          <w:kern w:val="0"/>
          <w:sz w:val="24"/>
        </w:rPr>
        <w:t>(采购编号)，签字代表_____________________(全名、职务) 经正式授权并代表</w:t>
      </w:r>
      <w:r>
        <w:rPr>
          <w:rFonts w:hint="eastAsia" w:ascii="宋体" w:hAnsi="宋体" w:cs="宋体"/>
          <w:sz w:val="24"/>
        </w:rPr>
        <w:t>谈判响应方</w:t>
      </w:r>
      <w:r>
        <w:rPr>
          <w:rFonts w:hint="eastAsia" w:ascii="宋体" w:hAnsi="宋体" w:cs="宋体"/>
          <w:kern w:val="0"/>
          <w:sz w:val="24"/>
        </w:rPr>
        <w:t>______________________________ (</w:t>
      </w:r>
      <w:r>
        <w:rPr>
          <w:rFonts w:hint="eastAsia" w:ascii="宋体" w:hAnsi="宋体" w:cs="宋体"/>
          <w:sz w:val="24"/>
        </w:rPr>
        <w:t>谈判响应方</w:t>
      </w:r>
      <w:r>
        <w:rPr>
          <w:rFonts w:hint="eastAsia" w:ascii="宋体" w:hAnsi="宋体" w:cs="宋体"/>
          <w:kern w:val="0"/>
          <w:sz w:val="24"/>
        </w:rPr>
        <w:t>名称、地址)。</w:t>
      </w:r>
    </w:p>
    <w:p>
      <w:pPr>
        <w:widowControl/>
        <w:overflowPunct w:val="0"/>
        <w:autoSpaceDE w:val="0"/>
        <w:autoSpaceDN w:val="0"/>
        <w:adjustRightInd w:val="0"/>
        <w:spacing w:line="360" w:lineRule="auto"/>
        <w:ind w:firstLine="480" w:firstLineChars="200"/>
        <w:jc w:val="left"/>
        <w:textAlignment w:val="baseline"/>
        <w:rPr>
          <w:rFonts w:ascii="宋体" w:hAnsi="宋体" w:cs="宋体"/>
          <w:kern w:val="0"/>
          <w:sz w:val="24"/>
        </w:rPr>
      </w:pPr>
      <w:r>
        <w:rPr>
          <w:rFonts w:hint="eastAsia" w:ascii="宋体" w:hAnsi="宋体" w:cs="宋体"/>
          <w:kern w:val="0"/>
          <w:sz w:val="24"/>
        </w:rPr>
        <w:t>据此函，签字代表宣布同意如下：</w:t>
      </w:r>
    </w:p>
    <w:p>
      <w:pPr>
        <w:widowControl/>
        <w:overflowPunct w:val="0"/>
        <w:autoSpaceDE w:val="0"/>
        <w:autoSpaceDN w:val="0"/>
        <w:adjustRightInd w:val="0"/>
        <w:spacing w:line="360" w:lineRule="auto"/>
        <w:ind w:firstLine="480" w:firstLineChars="200"/>
        <w:jc w:val="left"/>
        <w:textAlignment w:val="baseline"/>
        <w:rPr>
          <w:rFonts w:ascii="宋体" w:hAnsi="宋体" w:cs="宋体"/>
          <w:kern w:val="0"/>
          <w:sz w:val="24"/>
        </w:rPr>
      </w:pPr>
      <w:r>
        <w:rPr>
          <w:rFonts w:hint="eastAsia" w:ascii="宋体" w:hAnsi="宋体" w:cs="宋体"/>
          <w:kern w:val="0"/>
          <w:sz w:val="24"/>
        </w:rPr>
        <w:t>1．所附谈判报价表中规定的应提供和支付的服务投标总价（第一次报价</w:t>
      </w:r>
      <w:r>
        <w:rPr>
          <w:rFonts w:hint="eastAsia" w:ascii="宋体" w:hAnsi="宋体" w:cs="宋体"/>
          <w:b/>
          <w:kern w:val="0"/>
          <w:sz w:val="24"/>
        </w:rPr>
        <w:t>）</w:t>
      </w:r>
      <w:r>
        <w:rPr>
          <w:rFonts w:hint="eastAsia" w:ascii="宋体" w:hAnsi="宋体" w:cs="宋体"/>
          <w:kern w:val="0"/>
          <w:sz w:val="24"/>
        </w:rPr>
        <w:t>为(注明币种)</w:t>
      </w:r>
      <w:r>
        <w:rPr>
          <w:rFonts w:hint="eastAsia" w:ascii="宋体" w:hAnsi="宋体" w:cs="宋体"/>
          <w:kern w:val="0"/>
          <w:sz w:val="24"/>
          <w:u w:val="single"/>
        </w:rPr>
        <w:t xml:space="preserve">          </w:t>
      </w:r>
      <w:r>
        <w:rPr>
          <w:rFonts w:hint="eastAsia" w:ascii="宋体" w:hAnsi="宋体" w:cs="宋体"/>
          <w:kern w:val="0"/>
          <w:sz w:val="24"/>
        </w:rPr>
        <w:t>，即(大写)</w:t>
      </w:r>
      <w:r>
        <w:rPr>
          <w:rFonts w:hint="eastAsia" w:ascii="宋体" w:hAnsi="宋体" w:cs="宋体"/>
          <w:kern w:val="0"/>
          <w:sz w:val="24"/>
          <w:u w:val="single"/>
        </w:rPr>
        <w:t xml:space="preserve">                    　　　　   </w:t>
      </w:r>
      <w:r>
        <w:rPr>
          <w:rFonts w:hint="eastAsia" w:ascii="宋体" w:hAnsi="宋体" w:cs="宋体"/>
          <w:kern w:val="0"/>
          <w:sz w:val="24"/>
        </w:rPr>
        <w:t>。</w:t>
      </w:r>
    </w:p>
    <w:p>
      <w:pPr>
        <w:widowControl/>
        <w:overflowPunct w:val="0"/>
        <w:autoSpaceDE w:val="0"/>
        <w:autoSpaceDN w:val="0"/>
        <w:adjustRightInd w:val="0"/>
        <w:spacing w:line="360" w:lineRule="auto"/>
        <w:ind w:firstLine="480" w:firstLineChars="200"/>
        <w:jc w:val="left"/>
        <w:textAlignment w:val="baseline"/>
        <w:rPr>
          <w:rFonts w:ascii="宋体" w:hAnsi="宋体" w:cs="宋体"/>
          <w:kern w:val="0"/>
          <w:sz w:val="24"/>
        </w:rPr>
      </w:pPr>
      <w:r>
        <w:rPr>
          <w:rFonts w:hint="eastAsia" w:ascii="宋体" w:hAnsi="宋体" w:cs="宋体"/>
          <w:kern w:val="0"/>
          <w:sz w:val="24"/>
        </w:rPr>
        <w:t>2．</w:t>
      </w:r>
      <w:r>
        <w:rPr>
          <w:rFonts w:hint="eastAsia" w:ascii="宋体" w:hAnsi="宋体" w:cs="宋体"/>
          <w:sz w:val="24"/>
        </w:rPr>
        <w:t>谈判响应方</w:t>
      </w:r>
      <w:r>
        <w:rPr>
          <w:rFonts w:hint="eastAsia" w:ascii="宋体" w:hAnsi="宋体" w:cs="宋体"/>
          <w:kern w:val="0"/>
          <w:sz w:val="24"/>
        </w:rPr>
        <w:t>已详细审查全部招标文件，我们完全理解并同意放弃对这方面有不明及误解的权利。</w:t>
      </w:r>
    </w:p>
    <w:p>
      <w:pPr>
        <w:widowControl/>
        <w:overflowPunct w:val="0"/>
        <w:autoSpaceDE w:val="0"/>
        <w:autoSpaceDN w:val="0"/>
        <w:adjustRightInd w:val="0"/>
        <w:spacing w:line="360" w:lineRule="auto"/>
        <w:ind w:firstLine="480" w:firstLineChars="200"/>
        <w:jc w:val="left"/>
        <w:textAlignment w:val="baseline"/>
        <w:rPr>
          <w:rFonts w:ascii="宋体" w:hAnsi="宋体" w:cs="宋体"/>
          <w:kern w:val="0"/>
          <w:sz w:val="24"/>
        </w:rPr>
      </w:pPr>
      <w:r>
        <w:rPr>
          <w:rFonts w:hint="eastAsia" w:ascii="宋体" w:hAnsi="宋体" w:cs="宋体"/>
          <w:kern w:val="0"/>
          <w:sz w:val="24"/>
        </w:rPr>
        <w:t>3．我方将按招标文件规定履行合同责任和义务。</w:t>
      </w:r>
    </w:p>
    <w:p>
      <w:pPr>
        <w:widowControl/>
        <w:overflowPunct w:val="0"/>
        <w:autoSpaceDE w:val="0"/>
        <w:autoSpaceDN w:val="0"/>
        <w:adjustRightInd w:val="0"/>
        <w:spacing w:line="360" w:lineRule="auto"/>
        <w:ind w:firstLine="480" w:firstLineChars="200"/>
        <w:jc w:val="left"/>
        <w:textAlignment w:val="baseline"/>
        <w:rPr>
          <w:rFonts w:ascii="宋体" w:hAnsi="宋体" w:cs="宋体"/>
          <w:kern w:val="0"/>
          <w:sz w:val="24"/>
        </w:rPr>
      </w:pPr>
      <w:r>
        <w:rPr>
          <w:rFonts w:hint="eastAsia" w:ascii="宋体" w:hAnsi="宋体" w:cs="宋体"/>
          <w:kern w:val="0"/>
          <w:sz w:val="24"/>
        </w:rPr>
        <w:t>4．其投标自开标日起有效期</w:t>
      </w:r>
      <w:r>
        <w:rPr>
          <w:rFonts w:hint="eastAsia" w:ascii="宋体" w:hAnsi="宋体" w:cs="宋体"/>
          <w:kern w:val="0"/>
          <w:sz w:val="24"/>
          <w:u w:val="single"/>
        </w:rPr>
        <w:t xml:space="preserve"> 60 </w:t>
      </w:r>
      <w:r>
        <w:rPr>
          <w:rFonts w:hint="eastAsia" w:ascii="宋体" w:hAnsi="宋体" w:cs="宋体"/>
          <w:kern w:val="0"/>
          <w:sz w:val="24"/>
        </w:rPr>
        <w:t>天。</w:t>
      </w:r>
    </w:p>
    <w:p>
      <w:pPr>
        <w:widowControl/>
        <w:overflowPunct w:val="0"/>
        <w:autoSpaceDE w:val="0"/>
        <w:autoSpaceDN w:val="0"/>
        <w:adjustRightInd w:val="0"/>
        <w:spacing w:line="360" w:lineRule="auto"/>
        <w:ind w:firstLine="480" w:firstLineChars="200"/>
        <w:jc w:val="left"/>
        <w:textAlignment w:val="baseline"/>
        <w:rPr>
          <w:rFonts w:ascii="宋体" w:hAnsi="宋体" w:cs="宋体"/>
          <w:kern w:val="0"/>
          <w:sz w:val="24"/>
        </w:rPr>
      </w:pPr>
      <w:r>
        <w:rPr>
          <w:rFonts w:hint="eastAsia" w:ascii="宋体" w:hAnsi="宋体" w:cs="宋体"/>
          <w:kern w:val="0"/>
          <w:sz w:val="24"/>
        </w:rPr>
        <w:t>5．如果在规定的开标时间后，我方在投标有效期内撤回投标或放弃中标的，加入政府采购黑名单。</w:t>
      </w:r>
    </w:p>
    <w:p>
      <w:pPr>
        <w:widowControl/>
        <w:overflowPunct w:val="0"/>
        <w:autoSpaceDE w:val="0"/>
        <w:autoSpaceDN w:val="0"/>
        <w:adjustRightInd w:val="0"/>
        <w:spacing w:line="360" w:lineRule="auto"/>
        <w:ind w:firstLine="480" w:firstLineChars="200"/>
        <w:jc w:val="left"/>
        <w:textAlignment w:val="baseline"/>
        <w:rPr>
          <w:rFonts w:ascii="宋体" w:hAnsi="宋体" w:cs="宋体"/>
          <w:kern w:val="0"/>
          <w:sz w:val="24"/>
        </w:rPr>
      </w:pPr>
      <w:r>
        <w:rPr>
          <w:rFonts w:hint="eastAsia" w:ascii="宋体" w:hAnsi="宋体" w:cs="宋体"/>
          <w:kern w:val="0"/>
          <w:sz w:val="24"/>
        </w:rPr>
        <w:t>6．我方同意提供按照贵方可能要求的与其投标有关的一切数据或资料，理解贵方不一定要接受最低价的投标或收到的任何投标。</w:t>
      </w:r>
    </w:p>
    <w:p>
      <w:pPr>
        <w:widowControl/>
        <w:overflowPunct w:val="0"/>
        <w:autoSpaceDE w:val="0"/>
        <w:autoSpaceDN w:val="0"/>
        <w:adjustRightInd w:val="0"/>
        <w:spacing w:line="360" w:lineRule="auto"/>
        <w:ind w:firstLine="480" w:firstLineChars="200"/>
        <w:jc w:val="left"/>
        <w:textAlignment w:val="baseline"/>
        <w:rPr>
          <w:rFonts w:ascii="宋体" w:hAnsi="宋体" w:cs="宋体"/>
          <w:kern w:val="0"/>
          <w:sz w:val="24"/>
        </w:rPr>
      </w:pPr>
      <w:r>
        <w:rPr>
          <w:rFonts w:hint="eastAsia" w:ascii="宋体" w:hAnsi="宋体" w:cs="宋体"/>
          <w:kern w:val="0"/>
          <w:sz w:val="24"/>
        </w:rPr>
        <w:t>7．与本投标有关的一切正式往来通讯请寄：</w:t>
      </w:r>
    </w:p>
    <w:p>
      <w:pPr>
        <w:widowControl/>
        <w:overflowPunct w:val="0"/>
        <w:autoSpaceDE w:val="0"/>
        <w:autoSpaceDN w:val="0"/>
        <w:adjustRightInd w:val="0"/>
        <w:spacing w:line="360" w:lineRule="auto"/>
        <w:jc w:val="left"/>
        <w:textAlignment w:val="baseline"/>
        <w:rPr>
          <w:rFonts w:ascii="宋体" w:hAnsi="宋体" w:cs="宋体"/>
          <w:kern w:val="0"/>
          <w:sz w:val="24"/>
        </w:rPr>
      </w:pPr>
      <w:r>
        <w:rPr>
          <w:rFonts w:hint="eastAsia" w:ascii="宋体" w:hAnsi="宋体" w:cs="宋体"/>
          <w:kern w:val="0"/>
          <w:sz w:val="24"/>
        </w:rPr>
        <w:t xml:space="preserve">    地址：______________________邮编：______________________                </w:t>
      </w:r>
    </w:p>
    <w:p>
      <w:pPr>
        <w:widowControl/>
        <w:overflowPunct w:val="0"/>
        <w:autoSpaceDE w:val="0"/>
        <w:autoSpaceDN w:val="0"/>
        <w:adjustRightInd w:val="0"/>
        <w:spacing w:line="360" w:lineRule="auto"/>
        <w:ind w:firstLine="480"/>
        <w:jc w:val="left"/>
        <w:textAlignment w:val="baseline"/>
        <w:rPr>
          <w:rFonts w:ascii="宋体" w:hAnsi="宋体" w:cs="宋体"/>
          <w:kern w:val="0"/>
          <w:sz w:val="24"/>
        </w:rPr>
      </w:pPr>
      <w:r>
        <w:rPr>
          <w:rFonts w:hint="eastAsia" w:ascii="宋体" w:hAnsi="宋体" w:cs="宋体"/>
          <w:kern w:val="0"/>
          <w:sz w:val="24"/>
        </w:rPr>
        <w:t xml:space="preserve">电话：______________________传真：______________________     </w:t>
      </w:r>
    </w:p>
    <w:p>
      <w:pPr>
        <w:widowControl/>
        <w:overflowPunct w:val="0"/>
        <w:autoSpaceDE w:val="0"/>
        <w:autoSpaceDN w:val="0"/>
        <w:adjustRightInd w:val="0"/>
        <w:spacing w:line="360" w:lineRule="auto"/>
        <w:ind w:firstLine="480"/>
        <w:jc w:val="left"/>
        <w:textAlignment w:val="baseline"/>
        <w:rPr>
          <w:rFonts w:ascii="宋体" w:hAnsi="宋体" w:cs="宋体"/>
          <w:kern w:val="0"/>
          <w:sz w:val="24"/>
        </w:rPr>
      </w:pPr>
      <w:r>
        <w:rPr>
          <w:rFonts w:hint="eastAsia" w:ascii="宋体" w:hAnsi="宋体" w:cs="宋体"/>
          <w:kern w:val="0"/>
          <w:sz w:val="24"/>
        </w:rPr>
        <w:t xml:space="preserve">           </w:t>
      </w:r>
    </w:p>
    <w:p>
      <w:pPr>
        <w:widowControl/>
        <w:overflowPunct w:val="0"/>
        <w:autoSpaceDE w:val="0"/>
        <w:autoSpaceDN w:val="0"/>
        <w:adjustRightInd w:val="0"/>
        <w:spacing w:line="360" w:lineRule="auto"/>
        <w:jc w:val="left"/>
        <w:textAlignment w:val="baseline"/>
        <w:rPr>
          <w:rFonts w:ascii="宋体" w:hAnsi="宋体" w:cs="宋体"/>
          <w:kern w:val="0"/>
          <w:sz w:val="24"/>
        </w:rPr>
      </w:pPr>
      <w:r>
        <w:rPr>
          <w:rFonts w:hint="eastAsia" w:ascii="宋体" w:hAnsi="宋体" w:cs="宋体"/>
          <w:kern w:val="0"/>
          <w:sz w:val="24"/>
        </w:rPr>
        <w:t xml:space="preserve">    </w:t>
      </w:r>
      <w:r>
        <w:rPr>
          <w:rFonts w:hint="eastAsia" w:ascii="宋体" w:hAnsi="宋体" w:cs="宋体"/>
          <w:sz w:val="24"/>
        </w:rPr>
        <w:t>谈判响应方</w:t>
      </w:r>
      <w:r>
        <w:rPr>
          <w:rFonts w:hint="eastAsia" w:ascii="宋体" w:hAnsi="宋体" w:cs="宋体"/>
          <w:kern w:val="0"/>
          <w:sz w:val="24"/>
        </w:rPr>
        <w:t>名称: ___________</w:t>
      </w:r>
      <w:r>
        <w:rPr>
          <w:rFonts w:hint="eastAsia" w:ascii="宋体" w:hAnsi="宋体" w:cs="宋体"/>
          <w:kern w:val="0"/>
          <w:sz w:val="24"/>
        </w:rPr>
        <w:softHyphen/>
      </w:r>
      <w:r>
        <w:rPr>
          <w:rFonts w:hint="eastAsia" w:ascii="宋体" w:hAnsi="宋体" w:cs="宋体"/>
          <w:kern w:val="0"/>
          <w:sz w:val="24"/>
        </w:rPr>
        <w:softHyphen/>
      </w:r>
      <w:r>
        <w:rPr>
          <w:rFonts w:hint="eastAsia" w:ascii="宋体" w:hAnsi="宋体" w:cs="宋体"/>
          <w:kern w:val="0"/>
          <w:sz w:val="24"/>
        </w:rPr>
        <w:softHyphen/>
      </w:r>
      <w:r>
        <w:rPr>
          <w:rFonts w:hint="eastAsia" w:ascii="宋体" w:hAnsi="宋体" w:cs="宋体"/>
          <w:kern w:val="0"/>
          <w:sz w:val="24"/>
        </w:rPr>
        <w:softHyphen/>
      </w:r>
      <w:r>
        <w:rPr>
          <w:rFonts w:hint="eastAsia" w:ascii="宋体" w:hAnsi="宋体" w:cs="宋体"/>
          <w:kern w:val="0"/>
          <w:sz w:val="24"/>
        </w:rPr>
        <w:t>________________ (公章)</w:t>
      </w:r>
    </w:p>
    <w:p>
      <w:pPr>
        <w:widowControl/>
        <w:overflowPunct w:val="0"/>
        <w:autoSpaceDE w:val="0"/>
        <w:autoSpaceDN w:val="0"/>
        <w:adjustRightInd w:val="0"/>
        <w:spacing w:line="360" w:lineRule="auto"/>
        <w:jc w:val="left"/>
        <w:textAlignment w:val="baseline"/>
        <w:rPr>
          <w:rFonts w:ascii="宋体" w:hAnsi="宋体" w:cs="宋体"/>
          <w:kern w:val="0"/>
          <w:sz w:val="24"/>
        </w:rPr>
      </w:pPr>
      <w:r>
        <w:rPr>
          <w:rFonts w:hint="eastAsia" w:ascii="宋体" w:hAnsi="宋体" w:cs="宋体"/>
          <w:kern w:val="0"/>
          <w:sz w:val="24"/>
        </w:rPr>
        <w:t xml:space="preserve">    </w:t>
      </w:r>
      <w:r>
        <w:rPr>
          <w:rFonts w:hint="eastAsia" w:ascii="宋体" w:hAnsi="宋体" w:cs="宋体"/>
          <w:sz w:val="24"/>
        </w:rPr>
        <w:t>谈判响应方</w:t>
      </w:r>
      <w:r>
        <w:rPr>
          <w:rFonts w:hint="eastAsia" w:ascii="宋体" w:hAnsi="宋体" w:cs="宋体"/>
          <w:kern w:val="0"/>
          <w:sz w:val="24"/>
        </w:rPr>
        <w:t>代表姓名、职务: ______________________</w:t>
      </w:r>
    </w:p>
    <w:p>
      <w:pPr>
        <w:spacing w:line="360" w:lineRule="auto"/>
        <w:ind w:firstLine="475" w:firstLineChars="198"/>
        <w:rPr>
          <w:rFonts w:ascii="宋体" w:hAnsi="宋体" w:cs="宋体"/>
          <w:sz w:val="24"/>
        </w:rPr>
      </w:pPr>
      <w:r>
        <w:rPr>
          <w:rFonts w:hint="eastAsia" w:ascii="宋体" w:hAnsi="宋体" w:cs="宋体"/>
          <w:sz w:val="24"/>
        </w:rPr>
        <w:t>谈判响应日期: _______年____月____日  委托代理人签字: ________</w:t>
      </w:r>
      <w:r>
        <w:rPr>
          <w:rFonts w:hint="eastAsia" w:ascii="宋体" w:hAnsi="宋体" w:cs="宋体"/>
          <w:sz w:val="24"/>
        </w:rPr>
        <w:softHyphen/>
      </w:r>
      <w:r>
        <w:rPr>
          <w:rFonts w:hint="eastAsia" w:ascii="宋体" w:hAnsi="宋体" w:cs="宋体"/>
          <w:sz w:val="24"/>
        </w:rPr>
        <w:t>__</w:t>
      </w:r>
    </w:p>
    <w:p>
      <w:pPr>
        <w:spacing w:line="360" w:lineRule="auto"/>
        <w:rPr>
          <w:rFonts w:ascii="宋体" w:hAnsi="宋体" w:cs="宋体"/>
          <w:b/>
          <w:bCs/>
          <w:sz w:val="24"/>
        </w:rPr>
      </w:pPr>
    </w:p>
    <w:p>
      <w:pPr>
        <w:jc w:val="center"/>
        <w:rPr>
          <w:rFonts w:ascii="宋体" w:hAnsi="宋体" w:cs="宋体"/>
          <w:b/>
          <w:bCs/>
          <w:sz w:val="24"/>
        </w:rPr>
      </w:pPr>
    </w:p>
    <w:p>
      <w:pPr>
        <w:keepNext/>
        <w:keepLines/>
        <w:pageBreakBefore/>
        <w:spacing w:before="260" w:after="260" w:line="416" w:lineRule="auto"/>
        <w:outlineLvl w:val="1"/>
        <w:rPr>
          <w:rFonts w:ascii="宋体" w:hAnsi="宋体" w:cs="宋体"/>
          <w:sz w:val="24"/>
          <w:szCs w:val="32"/>
        </w:rPr>
      </w:pPr>
      <w:bookmarkStart w:id="16" w:name="_Toc24222"/>
      <w:bookmarkStart w:id="17" w:name="_Toc11424"/>
      <w:r>
        <w:rPr>
          <w:rFonts w:hint="eastAsia" w:ascii="宋体" w:hAnsi="宋体" w:cs="宋体"/>
          <w:bCs/>
          <w:sz w:val="24"/>
          <w:szCs w:val="32"/>
        </w:rPr>
        <w:t>附件</w:t>
      </w:r>
      <w:r>
        <w:rPr>
          <w:rFonts w:hint="eastAsia" w:ascii="宋体" w:hAnsi="宋体" w:cs="宋体"/>
          <w:kern w:val="0"/>
          <w:sz w:val="24"/>
        </w:rPr>
        <w:t>二</w:t>
      </w:r>
      <w:r>
        <w:rPr>
          <w:rFonts w:hint="eastAsia" w:ascii="宋体" w:hAnsi="宋体" w:cs="宋体"/>
          <w:bCs/>
          <w:sz w:val="24"/>
          <w:szCs w:val="32"/>
        </w:rPr>
        <w:t>：初次报价表</w:t>
      </w:r>
      <w:bookmarkEnd w:id="16"/>
      <w:bookmarkEnd w:id="17"/>
    </w:p>
    <w:p>
      <w:pPr>
        <w:snapToGrid w:val="0"/>
        <w:spacing w:before="50" w:after="50" w:line="360" w:lineRule="auto"/>
        <w:jc w:val="center"/>
        <w:rPr>
          <w:rFonts w:ascii="宋体" w:hAnsi="宋体" w:cs="宋体"/>
          <w:b/>
          <w:sz w:val="32"/>
          <w:szCs w:val="32"/>
        </w:rPr>
      </w:pPr>
      <w:r>
        <w:rPr>
          <w:rFonts w:hint="eastAsia" w:ascii="宋体" w:hAnsi="宋体" w:cs="宋体"/>
          <w:b/>
          <w:sz w:val="32"/>
          <w:szCs w:val="32"/>
        </w:rPr>
        <w:t>初次报价表</w:t>
      </w:r>
    </w:p>
    <w:p>
      <w:pPr>
        <w:snapToGrid w:val="0"/>
        <w:spacing w:before="50" w:after="50"/>
      </w:pPr>
      <w:r>
        <w:rPr>
          <w:rFonts w:hint="eastAsia" w:ascii="宋体" w:hAnsi="宋体" w:cs="宋体"/>
          <w:sz w:val="24"/>
        </w:rPr>
        <w:t>谈判编号：</w:t>
      </w:r>
      <w:r>
        <w:rPr>
          <w:rFonts w:hint="eastAsia" w:ascii="宋体" w:hAnsi="宋体" w:cs="宋体"/>
          <w:sz w:val="24"/>
          <w:u w:val="single"/>
        </w:rPr>
        <w:t xml:space="preserve">               </w:t>
      </w:r>
      <w:r>
        <w:rPr>
          <w:rFonts w:hint="eastAsia" w:ascii="宋体" w:hAnsi="宋体" w:cs="宋体"/>
          <w:sz w:val="24"/>
        </w:rPr>
        <w:t>谈判响应方名称：</w:t>
      </w:r>
      <w:r>
        <w:rPr>
          <w:rFonts w:hint="eastAsia" w:ascii="宋体" w:hAnsi="宋体" w:cs="宋体"/>
          <w:sz w:val="24"/>
          <w:u w:val="single"/>
        </w:rPr>
        <w:t xml:space="preserve">                   </w:t>
      </w:r>
      <w:r>
        <w:rPr>
          <w:rFonts w:hint="eastAsia" w:ascii="宋体" w:hAnsi="宋体" w:cs="宋体"/>
          <w:sz w:val="24"/>
        </w:rPr>
        <w:t xml:space="preserve">  单位：元</w:t>
      </w:r>
    </w:p>
    <w:p>
      <w:pPr>
        <w:pStyle w:val="44"/>
        <w:snapToGrid w:val="0"/>
        <w:spacing w:line="240" w:lineRule="auto"/>
        <w:jc w:val="center"/>
        <w:outlineLvl w:val="0"/>
        <w:rPr>
          <w:rFonts w:ascii="黑体" w:hAnsi="黑体" w:eastAsia="黑体"/>
          <w:color w:val="000000" w:themeColor="text1"/>
          <w:sz w:val="30"/>
          <w:szCs w:val="30"/>
          <w14:textFill>
            <w14:solidFill>
              <w14:schemeClr w14:val="tx1"/>
            </w14:solidFill>
          </w14:textFill>
        </w:rPr>
      </w:pPr>
    </w:p>
    <w:tbl>
      <w:tblPr>
        <w:tblStyle w:val="21"/>
        <w:tblW w:w="874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306"/>
        <w:gridCol w:w="2130"/>
        <w:gridCol w:w="231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1" w:hRule="atLeast"/>
        </w:trPr>
        <w:tc>
          <w:tcPr>
            <w:tcW w:w="4306"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000000"/>
                <w:sz w:val="24"/>
              </w:rPr>
            </w:pPr>
            <w:r>
              <w:rPr>
                <w:rFonts w:hint="eastAsia" w:ascii="宋体" w:hAnsi="宋体"/>
                <w:b/>
                <w:color w:val="000000"/>
                <w:sz w:val="24"/>
              </w:rPr>
              <w:t>项目名称</w:t>
            </w:r>
          </w:p>
        </w:tc>
        <w:tc>
          <w:tcPr>
            <w:tcW w:w="2130"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b/>
                <w:color w:val="000000"/>
                <w:sz w:val="24"/>
                <w:lang w:eastAsia="zh-CN"/>
              </w:rPr>
            </w:pPr>
            <w:r>
              <w:rPr>
                <w:rFonts w:hint="eastAsia" w:ascii="宋体" w:hAnsi="宋体"/>
                <w:b/>
                <w:color w:val="000000"/>
                <w:sz w:val="24"/>
                <w:lang w:eastAsia="zh-CN"/>
              </w:rPr>
              <w:t>暂定数量</w:t>
            </w:r>
          </w:p>
        </w:tc>
        <w:tc>
          <w:tcPr>
            <w:tcW w:w="2310"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b/>
                <w:sz w:val="24"/>
              </w:rPr>
            </w:pPr>
            <w:r>
              <w:rPr>
                <w:rFonts w:hint="eastAsia" w:ascii="宋体" w:hAnsi="宋体"/>
                <w:b/>
                <w:sz w:val="24"/>
              </w:rPr>
              <w:t>谈判报</w:t>
            </w:r>
            <w:r>
              <w:rPr>
                <w:rFonts w:hint="eastAsia" w:ascii="宋体" w:hAnsi="宋体"/>
                <w:b/>
                <w:color w:val="000000"/>
                <w:sz w:val="24"/>
              </w:rPr>
              <w:t>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81" w:hRule="atLeast"/>
        </w:trPr>
        <w:tc>
          <w:tcPr>
            <w:tcW w:w="43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olor w:val="000000"/>
                <w:sz w:val="24"/>
                <w:lang w:eastAsia="zh-CN"/>
              </w:rPr>
            </w:pPr>
            <w:r>
              <w:rPr>
                <w:rFonts w:hint="eastAsia" w:cs="宋体"/>
                <w:b/>
                <w:bCs/>
                <w:color w:val="000000" w:themeColor="text1"/>
                <w:sz w:val="30"/>
                <w:szCs w:val="30"/>
                <w:lang w:eastAsia="zh-CN"/>
                <w14:textFill>
                  <w14:solidFill>
                    <w14:schemeClr w14:val="tx1"/>
                  </w14:solidFill>
                </w14:textFill>
              </w:rPr>
              <w:t>无线耳机采购项目</w:t>
            </w:r>
          </w:p>
        </w:tc>
        <w:tc>
          <w:tcPr>
            <w:tcW w:w="2130"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default" w:ascii="宋体" w:hAnsi="宋体" w:eastAsia="宋体"/>
                <w:b/>
                <w:color w:val="000000"/>
                <w:sz w:val="24"/>
                <w:lang w:val="en-US" w:eastAsia="zh-CN"/>
              </w:rPr>
            </w:pPr>
            <w:r>
              <w:rPr>
                <w:rFonts w:hint="eastAsia" w:ascii="宋体" w:hAnsi="宋体"/>
                <w:b/>
                <w:color w:val="000000"/>
                <w:sz w:val="24"/>
                <w:lang w:val="en-US" w:eastAsia="zh-CN"/>
              </w:rPr>
              <w:t>4500</w:t>
            </w:r>
          </w:p>
        </w:tc>
        <w:tc>
          <w:tcPr>
            <w:tcW w:w="2310"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default" w:ascii="宋体" w:hAnsi="宋体" w:eastAsia="宋体"/>
                <w:b/>
                <w:color w:val="000000"/>
                <w:sz w:val="24"/>
                <w:lang w:val="en-US" w:eastAsia="zh-CN"/>
              </w:rPr>
            </w:pPr>
            <w:r>
              <w:rPr>
                <w:rFonts w:hint="eastAsia" w:ascii="宋体" w:hAnsi="宋体"/>
                <w:b/>
                <w:color w:val="000000"/>
                <w:sz w:val="24"/>
                <w:lang w:val="en-US" w:eastAsia="zh-CN"/>
              </w:rPr>
              <w:t xml:space="preserve">        </w:t>
            </w:r>
            <w:r>
              <w:rPr>
                <w:rFonts w:hint="eastAsia" w:ascii="宋体" w:hAnsi="宋体"/>
                <w:b/>
                <w:color w:val="000000"/>
                <w:sz w:val="24"/>
                <w:lang w:eastAsia="zh-CN"/>
              </w:rPr>
              <w:t>元</w:t>
            </w:r>
            <w:r>
              <w:rPr>
                <w:rFonts w:hint="eastAsia" w:ascii="宋体" w:hAnsi="宋体"/>
                <w:b/>
                <w:color w:val="000000"/>
                <w:sz w:val="24"/>
                <w:lang w:val="en-US" w:eastAsia="zh-CN"/>
              </w:rPr>
              <w:t>/只</w:t>
            </w:r>
          </w:p>
        </w:tc>
      </w:tr>
    </w:tbl>
    <w:p>
      <w:pPr>
        <w:snapToGrid w:val="0"/>
        <w:spacing w:before="50" w:after="50"/>
        <w:rPr>
          <w:rFonts w:ascii="宋体" w:hAnsi="宋体"/>
          <w:color w:val="000000"/>
          <w:sz w:val="24"/>
          <w:szCs w:val="20"/>
        </w:rPr>
      </w:pPr>
    </w:p>
    <w:p>
      <w:pPr>
        <w:snapToGrid w:val="0"/>
        <w:spacing w:before="50" w:after="50" w:line="360" w:lineRule="auto"/>
        <w:jc w:val="left"/>
        <w:rPr>
          <w:rFonts w:ascii="宋体" w:hAnsi="宋体" w:cs="宋体"/>
          <w:sz w:val="24"/>
        </w:rPr>
      </w:pPr>
      <w:r>
        <w:rPr>
          <w:rFonts w:hint="eastAsia" w:ascii="宋体" w:hAnsi="宋体" w:cs="宋体"/>
          <w:sz w:val="24"/>
        </w:rPr>
        <w:t xml:space="preserve">注: </w:t>
      </w:r>
    </w:p>
    <w:p>
      <w:pPr>
        <w:snapToGrid w:val="0"/>
        <w:spacing w:before="50" w:after="50" w:line="360" w:lineRule="auto"/>
        <w:ind w:firstLine="480" w:firstLineChars="200"/>
        <w:jc w:val="left"/>
        <w:rPr>
          <w:rFonts w:ascii="宋体" w:hAnsi="宋体" w:cs="宋体"/>
          <w:sz w:val="24"/>
          <w:szCs w:val="20"/>
        </w:rPr>
      </w:pPr>
      <w:r>
        <w:rPr>
          <w:rFonts w:hint="eastAsia" w:ascii="宋体" w:hAnsi="宋体" w:cs="宋体"/>
          <w:sz w:val="24"/>
        </w:rPr>
        <w:t>1、报价一经涂改，应在涂改处加盖单位公章或者由法定代表人或授权委托人签字或盖章，否则其谈判作无效谈判处理。</w:t>
      </w:r>
    </w:p>
    <w:p>
      <w:pPr>
        <w:spacing w:line="360" w:lineRule="auto"/>
        <w:ind w:firstLine="480" w:firstLineChars="200"/>
        <w:rPr>
          <w:rFonts w:ascii="宋体" w:hAnsi="宋体" w:cs="宋体"/>
          <w:sz w:val="24"/>
        </w:rPr>
      </w:pPr>
      <w:r>
        <w:rPr>
          <w:rFonts w:hint="eastAsia" w:ascii="宋体" w:hAnsi="宋体" w:cs="宋体"/>
          <w:sz w:val="24"/>
        </w:rPr>
        <w:t>2、谈判报价是履行合同的最终价格，应包含完成本项目合同内容所涉及的全部费用，包含但不仅限于所需设计、开发、优化、安装、平台对接、上线调试、试运行管理、技术培训、验收配合、第三方检测（如需）、售后服务以及完成采购需求所涉及的其他一切内容所需的全部费用，以及税金、人工费、管理费、合理利润、风险费、投标费用等一切成本及费用。</w:t>
      </w:r>
    </w:p>
    <w:p>
      <w:pPr>
        <w:snapToGrid w:val="0"/>
        <w:spacing w:before="50" w:after="50" w:line="360" w:lineRule="auto"/>
        <w:ind w:right="-817" w:rightChars="-389" w:firstLine="480" w:firstLineChars="200"/>
        <w:rPr>
          <w:rFonts w:ascii="宋体" w:hAnsi="宋体" w:cs="宋体"/>
          <w:sz w:val="24"/>
        </w:rPr>
      </w:pPr>
      <w:r>
        <w:rPr>
          <w:rFonts w:ascii="宋体" w:hAnsi="宋体" w:cs="宋体"/>
          <w:sz w:val="24"/>
        </w:rPr>
        <w:t>3</w:t>
      </w:r>
      <w:r>
        <w:rPr>
          <w:rFonts w:hint="eastAsia" w:ascii="宋体" w:hAnsi="宋体" w:cs="宋体"/>
          <w:sz w:val="24"/>
        </w:rPr>
        <w:t>、本表格式不允许修改，否则作无效谈判处理。</w:t>
      </w:r>
    </w:p>
    <w:p>
      <w:pPr>
        <w:snapToGrid w:val="0"/>
        <w:spacing w:before="50" w:after="50" w:line="360" w:lineRule="auto"/>
        <w:ind w:left="-3" w:leftChars="-72" w:right="-817" w:rightChars="-389" w:hanging="148" w:hangingChars="62"/>
        <w:rPr>
          <w:rFonts w:ascii="宋体" w:hAnsi="宋体" w:cs="宋体"/>
          <w:sz w:val="24"/>
        </w:rPr>
      </w:pPr>
      <w:r>
        <w:rPr>
          <w:rFonts w:hint="eastAsia" w:ascii="宋体" w:hAnsi="宋体" w:cs="宋体"/>
          <w:sz w:val="24"/>
        </w:rPr>
        <w:t xml:space="preserve"> </w:t>
      </w:r>
    </w:p>
    <w:p>
      <w:pPr>
        <w:snapToGrid w:val="0"/>
        <w:spacing w:before="50" w:after="50" w:line="360" w:lineRule="auto"/>
        <w:ind w:left="-3" w:leftChars="-15" w:right="-817" w:rightChars="-389" w:hanging="28" w:hangingChars="12"/>
        <w:rPr>
          <w:rFonts w:ascii="宋体" w:hAnsi="宋体" w:cs="宋体"/>
          <w:sz w:val="24"/>
        </w:rPr>
      </w:pPr>
      <w:r>
        <w:rPr>
          <w:rFonts w:hint="eastAsia" w:ascii="宋体" w:hAnsi="宋体" w:cs="宋体"/>
          <w:sz w:val="24"/>
        </w:rPr>
        <w:t>法定代表人或委托代理人（签字或盖章）：</w:t>
      </w:r>
    </w:p>
    <w:p>
      <w:pPr>
        <w:snapToGrid w:val="0"/>
        <w:spacing w:before="50" w:after="50" w:line="360" w:lineRule="auto"/>
        <w:ind w:left="-3" w:leftChars="-72" w:right="-817" w:rightChars="-389" w:hanging="148" w:hangingChars="62"/>
        <w:rPr>
          <w:rFonts w:ascii="宋体" w:hAnsi="宋体" w:cs="宋体"/>
          <w:sz w:val="24"/>
          <w:szCs w:val="20"/>
        </w:rPr>
      </w:pPr>
      <w:r>
        <w:rPr>
          <w:rFonts w:hint="eastAsia" w:ascii="宋体" w:hAnsi="宋体" w:cs="宋体"/>
          <w:sz w:val="24"/>
        </w:rPr>
        <w:t xml:space="preserve"> </w:t>
      </w:r>
    </w:p>
    <w:p>
      <w:pPr>
        <w:snapToGrid w:val="0"/>
        <w:spacing w:before="50" w:after="50" w:line="360" w:lineRule="auto"/>
        <w:ind w:left="-3" w:leftChars="-15" w:right="-817" w:rightChars="-389" w:hanging="28" w:hangingChars="12"/>
        <w:rPr>
          <w:rFonts w:ascii="宋体" w:hAnsi="宋体" w:cs="宋体"/>
          <w:sz w:val="24"/>
        </w:rPr>
      </w:pPr>
      <w:r>
        <w:rPr>
          <w:rFonts w:hint="eastAsia" w:ascii="宋体" w:hAnsi="宋体" w:cs="宋体"/>
          <w:sz w:val="24"/>
        </w:rPr>
        <w:t xml:space="preserve">谈判响应方名称（盖章）：  </w:t>
      </w:r>
    </w:p>
    <w:p>
      <w:pPr>
        <w:snapToGrid w:val="0"/>
        <w:spacing w:before="50" w:after="50" w:line="360" w:lineRule="auto"/>
        <w:ind w:left="-3" w:leftChars="-15" w:right="-817" w:rightChars="-389" w:hanging="28" w:hangingChars="12"/>
        <w:rPr>
          <w:rFonts w:ascii="宋体" w:hAnsi="宋体" w:cs="宋体"/>
          <w:sz w:val="24"/>
        </w:rPr>
      </w:pPr>
      <w:r>
        <w:rPr>
          <w:rFonts w:hint="eastAsia" w:ascii="宋体" w:hAnsi="宋体" w:cs="宋体"/>
          <w:sz w:val="24"/>
        </w:rPr>
        <w:t xml:space="preserve">                                        </w:t>
      </w:r>
    </w:p>
    <w:p>
      <w:pPr>
        <w:snapToGrid w:val="0"/>
        <w:spacing w:before="50" w:after="50"/>
        <w:ind w:left="-2" w:leftChars="-1" w:right="-817" w:rightChars="-389" w:firstLine="4920" w:firstLineChars="2050"/>
        <w:rPr>
          <w:rFonts w:ascii="宋体" w:hAnsi="宋体" w:cs="宋体"/>
          <w:sz w:val="24"/>
        </w:rPr>
      </w:pPr>
    </w:p>
    <w:p>
      <w:pPr>
        <w:snapToGrid w:val="0"/>
        <w:spacing w:before="50" w:after="50"/>
        <w:ind w:left="-2" w:leftChars="-1" w:right="-817" w:rightChars="-389" w:firstLine="4920" w:firstLineChars="2050"/>
        <w:rPr>
          <w:rFonts w:ascii="宋体" w:hAnsi="宋体" w:cs="宋体"/>
          <w:sz w:val="24"/>
        </w:rPr>
      </w:pPr>
      <w:r>
        <w:rPr>
          <w:rFonts w:hint="eastAsia" w:ascii="宋体" w:hAnsi="宋体" w:cs="宋体"/>
          <w:sz w:val="24"/>
        </w:rPr>
        <w:t>日期：    年   月   日</w:t>
      </w:r>
    </w:p>
    <w:p>
      <w:pPr>
        <w:pStyle w:val="3"/>
        <w:rPr>
          <w:rFonts w:ascii="宋体" w:hAnsi="宋体" w:cs="宋体"/>
          <w:sz w:val="24"/>
        </w:rPr>
      </w:pPr>
    </w:p>
    <w:p>
      <w:pPr>
        <w:pageBreakBefore/>
        <w:spacing w:before="260" w:after="260" w:line="415" w:lineRule="auto"/>
        <w:outlineLvl w:val="1"/>
        <w:rPr>
          <w:rFonts w:ascii="宋体" w:hAnsi="宋体" w:cs="宋体"/>
          <w:bCs/>
          <w:sz w:val="24"/>
          <w:szCs w:val="32"/>
        </w:rPr>
      </w:pPr>
      <w:bookmarkStart w:id="18" w:name="_Toc2511"/>
      <w:bookmarkStart w:id="19" w:name="_Toc14232"/>
      <w:r>
        <w:rPr>
          <w:rFonts w:hint="eastAsia" w:ascii="宋体" w:hAnsi="宋体" w:cs="宋体"/>
          <w:bCs/>
          <w:sz w:val="24"/>
          <w:szCs w:val="32"/>
        </w:rPr>
        <w:t>附件三：法定代表人授权书</w:t>
      </w:r>
      <w:bookmarkEnd w:id="18"/>
      <w:bookmarkEnd w:id="19"/>
    </w:p>
    <w:p>
      <w:pPr>
        <w:jc w:val="center"/>
        <w:rPr>
          <w:rFonts w:ascii="宋体" w:hAnsi="宋体" w:cs="宋体"/>
          <w:b/>
          <w:bCs/>
          <w:sz w:val="36"/>
          <w:szCs w:val="36"/>
        </w:rPr>
      </w:pPr>
      <w:r>
        <w:rPr>
          <w:rFonts w:hint="eastAsia" w:ascii="宋体" w:hAnsi="宋体" w:cs="宋体"/>
          <w:b/>
          <w:bCs/>
          <w:sz w:val="36"/>
          <w:szCs w:val="36"/>
        </w:rPr>
        <w:t>法定代表人授权书</w:t>
      </w:r>
    </w:p>
    <w:p>
      <w:pPr>
        <w:snapToGrid w:val="0"/>
        <w:spacing w:before="156" w:beforeLines="50" w:after="50"/>
        <w:rPr>
          <w:rFonts w:ascii="宋体" w:hAnsi="宋体" w:cs="宋体"/>
          <w:b/>
          <w:bCs/>
          <w:sz w:val="24"/>
          <w:szCs w:val="20"/>
        </w:rPr>
      </w:pPr>
      <w:r>
        <w:rPr>
          <w:rFonts w:hint="eastAsia" w:ascii="宋体" w:hAnsi="宋体" w:cs="宋体"/>
          <w:bCs/>
          <w:sz w:val="24"/>
        </w:rPr>
        <w:t>致：</w:t>
      </w:r>
      <w:r>
        <w:rPr>
          <w:rFonts w:hint="eastAsia" w:ascii="宋体" w:hAnsi="宋体" w:cs="宋体"/>
          <w:bCs/>
          <w:sz w:val="24"/>
          <w:u w:val="single"/>
        </w:rPr>
        <w:t xml:space="preserve">                  </w:t>
      </w:r>
      <w:r>
        <w:rPr>
          <w:rFonts w:hint="eastAsia" w:ascii="宋体" w:hAnsi="宋体" w:cs="宋体"/>
          <w:sz w:val="24"/>
        </w:rPr>
        <w:t>（招标采购单位名称）：</w:t>
      </w:r>
    </w:p>
    <w:p>
      <w:pPr>
        <w:snapToGrid w:val="0"/>
        <w:spacing w:before="156" w:beforeLines="50" w:after="50"/>
        <w:ind w:firstLine="720" w:firstLineChars="300"/>
        <w:rPr>
          <w:rFonts w:ascii="宋体" w:hAnsi="宋体" w:cs="宋体"/>
          <w:sz w:val="24"/>
          <w:szCs w:val="20"/>
        </w:rPr>
      </w:pPr>
      <w:r>
        <w:rPr>
          <w:rFonts w:hint="eastAsia" w:ascii="宋体" w:hAnsi="宋体" w:cs="宋体"/>
          <w:sz w:val="24"/>
        </w:rPr>
        <w:t>我</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 xml:space="preserve">（谈判响应方名称）的法定代表人，现授权委托本单位在职职工 </w:t>
      </w:r>
      <w:r>
        <w:rPr>
          <w:rFonts w:hint="eastAsia" w:ascii="宋体" w:hAnsi="宋体" w:cs="宋体"/>
          <w:sz w:val="24"/>
          <w:u w:val="single"/>
        </w:rPr>
        <w:t xml:space="preserve">              </w:t>
      </w:r>
      <w:r>
        <w:rPr>
          <w:rFonts w:hint="eastAsia" w:ascii="宋体" w:hAnsi="宋体" w:cs="宋体"/>
          <w:sz w:val="24"/>
        </w:rPr>
        <w:t>（姓名）以我方的名义参加</w:t>
      </w:r>
      <w:r>
        <w:rPr>
          <w:rFonts w:hint="eastAsia" w:ascii="宋体" w:hAnsi="宋体" w:cs="宋体"/>
          <w:sz w:val="24"/>
          <w:u w:val="single"/>
        </w:rPr>
        <w:t xml:space="preserve">          </w:t>
      </w:r>
      <w:r>
        <w:rPr>
          <w:rFonts w:hint="eastAsia" w:ascii="宋体" w:hAnsi="宋体" w:cs="宋体"/>
          <w:sz w:val="24"/>
        </w:rPr>
        <w:t>项目的投标活动，并代表我方全权办理针对上述项目的投标、开标、评标、签约等具体事务和签署相关文件。</w:t>
      </w:r>
    </w:p>
    <w:p>
      <w:pPr>
        <w:snapToGrid w:val="0"/>
        <w:spacing w:before="156" w:beforeLines="50" w:after="50"/>
        <w:rPr>
          <w:rFonts w:ascii="宋体" w:hAnsi="宋体" w:cs="宋体"/>
          <w:sz w:val="24"/>
          <w:szCs w:val="20"/>
        </w:rPr>
      </w:pPr>
      <w:r>
        <w:rPr>
          <w:rFonts w:hint="eastAsia" w:ascii="宋体" w:hAnsi="宋体" w:cs="宋体"/>
          <w:sz w:val="24"/>
        </w:rPr>
        <w:t xml:space="preserve">    我方对委托代理人的签名事项负全部责任。</w:t>
      </w:r>
    </w:p>
    <w:p>
      <w:pPr>
        <w:snapToGrid w:val="0"/>
        <w:spacing w:before="156" w:beforeLines="50" w:after="50"/>
        <w:ind w:firstLine="480"/>
        <w:rPr>
          <w:rFonts w:ascii="宋体" w:hAnsi="宋体" w:cs="宋体"/>
          <w:sz w:val="24"/>
          <w:szCs w:val="20"/>
        </w:rPr>
      </w:pPr>
      <w:r>
        <w:rPr>
          <w:rFonts w:hint="eastAsia" w:ascii="宋体" w:hAnsi="宋体" w:cs="宋体"/>
          <w:sz w:val="24"/>
          <w:u w:val="single"/>
        </w:rPr>
        <w:t>在撤销授权的书面通知以前，本授权书一直有效。</w:t>
      </w:r>
      <w:r>
        <w:rPr>
          <w:rFonts w:hint="eastAsia" w:ascii="宋体" w:hAnsi="宋体" w:cs="宋体"/>
          <w:sz w:val="24"/>
        </w:rPr>
        <w:t>委托代理人在授权书有效期内签署的所有文件不因授权的撤销而失效。</w:t>
      </w:r>
    </w:p>
    <w:p>
      <w:pPr>
        <w:snapToGrid w:val="0"/>
        <w:spacing w:before="156" w:beforeLines="50" w:after="50"/>
        <w:ind w:firstLine="480"/>
        <w:rPr>
          <w:rFonts w:ascii="宋体" w:hAnsi="宋体" w:cs="宋体"/>
          <w:sz w:val="24"/>
          <w:szCs w:val="20"/>
        </w:rPr>
      </w:pPr>
      <w:r>
        <w:rPr>
          <w:rFonts w:hint="eastAsia" w:ascii="宋体" w:hAnsi="宋体" w:cs="宋体"/>
          <w:sz w:val="24"/>
        </w:rPr>
        <w:t>委托代理人无转委托权，特此委托。</w:t>
      </w:r>
    </w:p>
    <w:p>
      <w:pPr>
        <w:snapToGrid w:val="0"/>
        <w:spacing w:before="156" w:beforeLines="50" w:after="50"/>
        <w:rPr>
          <w:rFonts w:ascii="宋体" w:hAnsi="宋体" w:cs="宋体"/>
          <w:sz w:val="24"/>
          <w:szCs w:val="20"/>
          <w:u w:val="single"/>
        </w:rPr>
      </w:pPr>
      <w:r>
        <w:rPr>
          <w:rFonts w:hint="eastAsia" w:ascii="宋体" w:hAnsi="宋体" w:cs="宋体"/>
          <w:sz w:val="24"/>
        </w:rPr>
        <w:t>委托代理人签名：</w:t>
      </w:r>
      <w:r>
        <w:rPr>
          <w:rFonts w:hint="eastAsia" w:ascii="宋体" w:hAnsi="宋体" w:cs="宋体"/>
          <w:sz w:val="24"/>
          <w:u w:val="single"/>
        </w:rPr>
        <w:t xml:space="preserve">          </w:t>
      </w:r>
      <w:r>
        <w:rPr>
          <w:rFonts w:hint="eastAsia" w:ascii="宋体" w:hAnsi="宋体" w:cs="宋体"/>
          <w:sz w:val="24"/>
        </w:rPr>
        <w:t xml:space="preserve">                 法定代表人（签字或盖章）：</w:t>
      </w:r>
      <w:r>
        <w:rPr>
          <w:rFonts w:hint="eastAsia" w:ascii="宋体" w:hAnsi="宋体" w:cs="宋体"/>
          <w:sz w:val="24"/>
          <w:u w:val="single"/>
        </w:rPr>
        <w:t xml:space="preserve">          </w:t>
      </w:r>
    </w:p>
    <w:p>
      <w:pPr>
        <w:snapToGrid w:val="0"/>
        <w:spacing w:before="156" w:beforeLines="50" w:after="50"/>
        <w:ind w:firstLine="960" w:firstLineChars="400"/>
        <w:rPr>
          <w:rFonts w:ascii="宋体" w:hAnsi="宋体" w:cs="宋体"/>
          <w:sz w:val="24"/>
          <w:szCs w:val="20"/>
        </w:rPr>
      </w:pPr>
      <w:r>
        <w:rPr>
          <w:rFonts w:hint="eastAsia" w:ascii="宋体" w:hAnsi="宋体" w:cs="宋体"/>
          <w:sz w:val="24"/>
        </w:rPr>
        <w:t>职务：</w:t>
      </w:r>
      <w:r>
        <w:rPr>
          <w:rFonts w:hint="eastAsia" w:ascii="宋体" w:hAnsi="宋体" w:cs="宋体"/>
          <w:sz w:val="24"/>
          <w:u w:val="single"/>
        </w:rPr>
        <w:t xml:space="preserve">           </w:t>
      </w:r>
      <w:r>
        <w:rPr>
          <w:rFonts w:hint="eastAsia" w:ascii="宋体" w:hAnsi="宋体" w:cs="宋体"/>
          <w:sz w:val="24"/>
        </w:rPr>
        <w:t xml:space="preserve">                          职务：</w:t>
      </w:r>
      <w:r>
        <w:rPr>
          <w:rFonts w:hint="eastAsia" w:ascii="宋体" w:hAnsi="宋体" w:cs="宋体"/>
          <w:sz w:val="24"/>
          <w:u w:val="single"/>
        </w:rPr>
        <w:t xml:space="preserve">           </w:t>
      </w:r>
    </w:p>
    <w:p>
      <w:pPr>
        <w:snapToGrid w:val="0"/>
        <w:spacing w:before="156" w:beforeLines="50" w:after="50"/>
        <w:rPr>
          <w:rFonts w:ascii="宋体" w:hAnsi="宋体" w:cs="宋体"/>
          <w:sz w:val="24"/>
        </w:rPr>
      </w:pPr>
      <w:r>
        <w:rPr>
          <w:rFonts w:hint="eastAsia" w:ascii="宋体" w:hAnsi="宋体" w:cs="宋体"/>
          <w:sz w:val="24"/>
        </w:rPr>
        <w:t>委托代理人身份证复印件（正反双面）：</w:t>
      </w:r>
    </w:p>
    <w:tbl>
      <w:tblPr>
        <w:tblStyle w:val="21"/>
        <w:tblpPr w:leftFromText="180" w:rightFromText="180" w:vertAnchor="text" w:tblpX="109" w:tblpY="151"/>
        <w:tblW w:w="0" w:type="auto"/>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5298"/>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345" w:hRule="atLeast"/>
        </w:trPr>
        <w:tc>
          <w:tcPr>
            <w:tcW w:w="5298" w:type="dxa"/>
          </w:tcPr>
          <w:p>
            <w:pPr>
              <w:snapToGrid w:val="0"/>
              <w:spacing w:before="156" w:beforeLines="50" w:after="50"/>
              <w:rPr>
                <w:rFonts w:ascii="宋体" w:hAnsi="宋体" w:cs="宋体"/>
                <w:sz w:val="24"/>
              </w:rPr>
            </w:pPr>
          </w:p>
          <w:p>
            <w:pPr>
              <w:snapToGrid w:val="0"/>
              <w:spacing w:before="156" w:beforeLines="50" w:after="50"/>
              <w:rPr>
                <w:rFonts w:ascii="宋体" w:hAnsi="宋体" w:cs="宋体"/>
                <w:sz w:val="24"/>
              </w:rPr>
            </w:pPr>
          </w:p>
          <w:p>
            <w:pPr>
              <w:snapToGrid w:val="0"/>
              <w:spacing w:before="156" w:beforeLines="50" w:after="50"/>
              <w:rPr>
                <w:rFonts w:ascii="宋体" w:hAnsi="宋体" w:cs="宋体"/>
                <w:sz w:val="24"/>
              </w:rPr>
            </w:pPr>
          </w:p>
          <w:p>
            <w:pPr>
              <w:snapToGrid w:val="0"/>
              <w:spacing w:before="156" w:beforeLines="50" w:after="50"/>
              <w:jc w:val="center"/>
              <w:rPr>
                <w:rFonts w:ascii="宋体" w:hAnsi="宋体" w:cs="宋体"/>
                <w:sz w:val="48"/>
                <w:szCs w:val="48"/>
              </w:rPr>
            </w:pPr>
            <w:r>
              <w:rPr>
                <w:rFonts w:hint="eastAsia" w:ascii="宋体" w:hAnsi="宋体" w:cs="宋体"/>
                <w:sz w:val="48"/>
                <w:szCs w:val="48"/>
              </w:rPr>
              <w:t>粘</w:t>
            </w:r>
          </w:p>
          <w:p>
            <w:pPr>
              <w:snapToGrid w:val="0"/>
              <w:spacing w:before="156" w:beforeLines="50" w:after="50"/>
              <w:jc w:val="center"/>
              <w:rPr>
                <w:rFonts w:ascii="宋体" w:hAnsi="宋体" w:cs="宋体"/>
                <w:sz w:val="48"/>
                <w:szCs w:val="48"/>
              </w:rPr>
            </w:pPr>
          </w:p>
          <w:p>
            <w:pPr>
              <w:snapToGrid w:val="0"/>
              <w:spacing w:before="156" w:beforeLines="50" w:after="50"/>
              <w:jc w:val="center"/>
              <w:rPr>
                <w:rFonts w:ascii="宋体" w:hAnsi="宋体" w:cs="宋体"/>
                <w:sz w:val="48"/>
                <w:szCs w:val="48"/>
              </w:rPr>
            </w:pPr>
            <w:r>
              <w:rPr>
                <w:rFonts w:hint="eastAsia" w:ascii="宋体" w:hAnsi="宋体" w:cs="宋体"/>
                <w:sz w:val="48"/>
                <w:szCs w:val="48"/>
              </w:rPr>
              <w:t>贴</w:t>
            </w:r>
          </w:p>
          <w:p>
            <w:pPr>
              <w:snapToGrid w:val="0"/>
              <w:spacing w:before="156" w:beforeLines="50" w:after="50"/>
              <w:jc w:val="center"/>
              <w:rPr>
                <w:rFonts w:ascii="宋体" w:hAnsi="宋体" w:cs="宋体"/>
                <w:sz w:val="48"/>
                <w:szCs w:val="48"/>
              </w:rPr>
            </w:pPr>
          </w:p>
          <w:p>
            <w:pPr>
              <w:snapToGrid w:val="0"/>
              <w:spacing w:before="156" w:beforeLines="50" w:after="50"/>
              <w:jc w:val="center"/>
              <w:rPr>
                <w:rFonts w:ascii="宋体" w:hAnsi="宋体" w:cs="宋体"/>
                <w:sz w:val="36"/>
                <w:szCs w:val="36"/>
              </w:rPr>
            </w:pPr>
            <w:r>
              <w:rPr>
                <w:rFonts w:hint="eastAsia" w:ascii="宋体" w:hAnsi="宋体" w:cs="宋体"/>
                <w:sz w:val="48"/>
                <w:szCs w:val="48"/>
              </w:rPr>
              <w:t>处</w:t>
            </w:r>
          </w:p>
        </w:tc>
      </w:tr>
    </w:tbl>
    <w:p>
      <w:pPr>
        <w:snapToGrid w:val="0"/>
        <w:spacing w:before="156" w:beforeLines="50" w:after="50"/>
        <w:rPr>
          <w:rFonts w:ascii="宋体" w:hAnsi="宋体" w:cs="宋体"/>
          <w:sz w:val="24"/>
        </w:rPr>
      </w:pPr>
    </w:p>
    <w:p>
      <w:pPr>
        <w:snapToGrid w:val="0"/>
        <w:spacing w:before="156" w:beforeLines="50" w:after="50"/>
        <w:rPr>
          <w:rFonts w:ascii="宋体" w:hAnsi="宋体" w:cs="宋体"/>
          <w:sz w:val="24"/>
        </w:rPr>
      </w:pPr>
    </w:p>
    <w:p>
      <w:pPr>
        <w:snapToGrid w:val="0"/>
        <w:spacing w:before="156" w:beforeLines="50" w:after="50"/>
        <w:rPr>
          <w:rFonts w:ascii="宋体" w:hAnsi="宋体" w:cs="宋体"/>
          <w:sz w:val="24"/>
        </w:rPr>
      </w:pPr>
      <w:r>
        <w:rPr>
          <w:rFonts w:hint="eastAsia" w:ascii="宋体" w:hAnsi="宋体" w:cs="宋体"/>
          <w:sz w:val="24"/>
        </w:rPr>
        <w:t xml:space="preserve"> </w:t>
      </w:r>
    </w:p>
    <w:p>
      <w:pPr>
        <w:snapToGrid w:val="0"/>
        <w:spacing w:before="156" w:beforeLines="50" w:after="50"/>
        <w:rPr>
          <w:rFonts w:ascii="宋体" w:hAnsi="宋体" w:cs="宋体"/>
          <w:sz w:val="24"/>
          <w:szCs w:val="20"/>
        </w:rPr>
      </w:pPr>
    </w:p>
    <w:p>
      <w:pPr>
        <w:snapToGrid w:val="0"/>
        <w:spacing w:before="156" w:beforeLines="50" w:after="50"/>
        <w:rPr>
          <w:rFonts w:ascii="宋体" w:hAnsi="宋体" w:cs="宋体"/>
          <w:sz w:val="24"/>
        </w:rPr>
      </w:pPr>
      <w:r>
        <w:rPr>
          <w:rFonts w:hint="eastAsia" w:ascii="宋体" w:hAnsi="宋体" w:cs="宋体"/>
          <w:sz w:val="24"/>
        </w:rPr>
        <w:t xml:space="preserve">                                                </w:t>
      </w:r>
    </w:p>
    <w:p>
      <w:pPr>
        <w:snapToGrid w:val="0"/>
        <w:spacing w:before="156" w:beforeLines="50" w:after="50"/>
        <w:rPr>
          <w:rFonts w:ascii="宋体" w:hAnsi="宋体" w:cs="宋体"/>
          <w:sz w:val="24"/>
        </w:rPr>
      </w:pPr>
    </w:p>
    <w:p>
      <w:pPr>
        <w:snapToGrid w:val="0"/>
        <w:spacing w:before="156" w:beforeLines="50" w:after="50"/>
        <w:rPr>
          <w:rFonts w:ascii="宋体" w:hAnsi="宋体" w:cs="宋体"/>
          <w:sz w:val="24"/>
        </w:rPr>
      </w:pPr>
    </w:p>
    <w:p>
      <w:pPr>
        <w:snapToGrid w:val="0"/>
        <w:spacing w:before="156" w:beforeLines="50" w:after="50"/>
        <w:rPr>
          <w:rFonts w:ascii="宋体" w:hAnsi="宋体" w:cs="宋体"/>
          <w:sz w:val="24"/>
        </w:rPr>
      </w:pPr>
    </w:p>
    <w:p>
      <w:pPr>
        <w:snapToGrid w:val="0"/>
        <w:spacing w:before="156" w:beforeLines="50" w:after="50"/>
        <w:rPr>
          <w:rFonts w:ascii="宋体" w:hAnsi="宋体" w:cs="宋体"/>
          <w:sz w:val="24"/>
        </w:rPr>
      </w:pPr>
    </w:p>
    <w:p>
      <w:pPr>
        <w:snapToGrid w:val="0"/>
        <w:spacing w:before="156" w:beforeLines="50" w:after="50"/>
        <w:rPr>
          <w:rFonts w:ascii="宋体" w:hAnsi="宋体" w:cs="宋体"/>
          <w:sz w:val="24"/>
        </w:rPr>
      </w:pPr>
    </w:p>
    <w:p>
      <w:pPr>
        <w:snapToGrid w:val="0"/>
        <w:spacing w:before="156" w:beforeLines="50" w:after="50"/>
        <w:ind w:firstLine="600" w:firstLineChars="250"/>
        <w:rPr>
          <w:rFonts w:ascii="宋体" w:hAnsi="宋体" w:cs="宋体"/>
          <w:sz w:val="24"/>
          <w:szCs w:val="20"/>
        </w:rPr>
      </w:pPr>
      <w:r>
        <w:rPr>
          <w:rFonts w:hint="eastAsia" w:ascii="宋体" w:hAnsi="宋体" w:cs="宋体"/>
          <w:sz w:val="24"/>
        </w:rPr>
        <w:t>谈判响应方公章：</w:t>
      </w:r>
    </w:p>
    <w:p>
      <w:pPr>
        <w:snapToGrid w:val="0"/>
        <w:spacing w:before="156" w:beforeLines="50" w:after="50"/>
        <w:jc w:val="center"/>
        <w:rPr>
          <w:rFonts w:ascii="宋体" w:hAnsi="宋体" w:cs="宋体"/>
          <w:sz w:val="24"/>
          <w:szCs w:val="20"/>
        </w:rPr>
      </w:pPr>
      <w:r>
        <w:rPr>
          <w:rFonts w:hint="eastAsia" w:ascii="宋体" w:hAnsi="宋体" w:cs="宋体"/>
          <w:sz w:val="24"/>
        </w:rPr>
        <w:t xml:space="preserve">                                                年    月    日</w:t>
      </w:r>
    </w:p>
    <w:p>
      <w:pPr>
        <w:snapToGrid w:val="0"/>
        <w:spacing w:before="156" w:beforeLines="50" w:after="50"/>
        <w:rPr>
          <w:rFonts w:ascii="宋体" w:hAnsi="宋体" w:cs="宋体"/>
          <w:sz w:val="24"/>
        </w:rPr>
      </w:pPr>
    </w:p>
    <w:p>
      <w:pPr>
        <w:snapToGrid w:val="0"/>
        <w:spacing w:before="156" w:beforeLines="50" w:after="50"/>
        <w:rPr>
          <w:rFonts w:ascii="宋体" w:hAnsi="宋体" w:cs="宋体"/>
          <w:sz w:val="24"/>
        </w:rPr>
      </w:pPr>
    </w:p>
    <w:p>
      <w:pPr>
        <w:rPr>
          <w:rFonts w:ascii="宋体" w:hAnsi="宋体" w:cs="宋体"/>
          <w:b/>
          <w:sz w:val="24"/>
        </w:rPr>
      </w:pPr>
      <w:r>
        <w:rPr>
          <w:rFonts w:hint="eastAsia" w:ascii="宋体" w:hAnsi="宋体" w:cs="宋体"/>
          <w:b/>
          <w:sz w:val="24"/>
        </w:rPr>
        <w:t>*注；此表格格式不得修改。</w:t>
      </w:r>
    </w:p>
    <w:p>
      <w:pPr>
        <w:pStyle w:val="3"/>
        <w:rPr>
          <w:rFonts w:ascii="宋体" w:hAnsi="宋体" w:cs="宋体"/>
          <w:b/>
          <w:sz w:val="24"/>
        </w:rPr>
      </w:pPr>
    </w:p>
    <w:p>
      <w:pPr>
        <w:pageBreakBefore/>
        <w:overflowPunct w:val="0"/>
        <w:autoSpaceDE w:val="0"/>
        <w:autoSpaceDN w:val="0"/>
        <w:adjustRightInd w:val="0"/>
        <w:jc w:val="left"/>
        <w:textAlignment w:val="baseline"/>
        <w:outlineLvl w:val="1"/>
        <w:rPr>
          <w:rFonts w:ascii="宋体" w:hAnsi="宋体" w:cs="宋体"/>
          <w:bCs/>
          <w:kern w:val="0"/>
          <w:sz w:val="24"/>
          <w:szCs w:val="21"/>
        </w:rPr>
      </w:pPr>
      <w:bookmarkStart w:id="20" w:name="_Toc8594"/>
      <w:bookmarkStart w:id="21" w:name="_Toc13816"/>
      <w:bookmarkStart w:id="22" w:name="_Toc4685"/>
      <w:r>
        <w:rPr>
          <w:rFonts w:hint="eastAsia" w:ascii="宋体" w:hAnsi="宋体" w:cs="宋体"/>
          <w:bCs/>
          <w:kern w:val="0"/>
          <w:sz w:val="24"/>
          <w:szCs w:val="21"/>
        </w:rPr>
        <w:t>附件四：</w:t>
      </w:r>
      <w:bookmarkEnd w:id="20"/>
      <w:r>
        <w:rPr>
          <w:rFonts w:hint="eastAsia" w:ascii="宋体" w:hAnsi="宋体" w:cs="宋体"/>
          <w:bCs/>
          <w:kern w:val="0"/>
          <w:sz w:val="24"/>
          <w:szCs w:val="21"/>
        </w:rPr>
        <w:t>诚信承诺书</w:t>
      </w:r>
      <w:bookmarkEnd w:id="21"/>
      <w:bookmarkEnd w:id="22"/>
    </w:p>
    <w:p>
      <w:pPr>
        <w:jc w:val="center"/>
        <w:rPr>
          <w:rFonts w:ascii="宋体" w:hAnsi="宋体" w:cs="宋体"/>
          <w:b/>
          <w:bCs/>
          <w:sz w:val="44"/>
          <w:szCs w:val="44"/>
        </w:rPr>
      </w:pPr>
    </w:p>
    <w:p>
      <w:pPr>
        <w:snapToGrid w:val="0"/>
        <w:spacing w:before="50" w:after="50" w:line="360" w:lineRule="auto"/>
        <w:jc w:val="center"/>
        <w:rPr>
          <w:rFonts w:ascii="宋体" w:hAnsi="宋体"/>
          <w:b/>
          <w:sz w:val="32"/>
          <w:szCs w:val="28"/>
        </w:rPr>
      </w:pPr>
      <w:r>
        <w:rPr>
          <w:rFonts w:hint="eastAsia" w:ascii="宋体" w:hAnsi="宋体"/>
          <w:b/>
          <w:sz w:val="32"/>
          <w:szCs w:val="28"/>
        </w:rPr>
        <w:t>诚信承诺书</w:t>
      </w:r>
    </w:p>
    <w:p>
      <w:pPr>
        <w:spacing w:line="360" w:lineRule="auto"/>
        <w:jc w:val="center"/>
        <w:rPr>
          <w:rFonts w:ascii="宋体" w:hAnsi="宋体"/>
          <w:sz w:val="28"/>
          <w:szCs w:val="28"/>
        </w:rPr>
      </w:pPr>
    </w:p>
    <w:p>
      <w:pPr>
        <w:spacing w:line="360" w:lineRule="auto"/>
        <w:rPr>
          <w:rFonts w:ascii="宋体" w:hAnsi="宋体"/>
          <w:sz w:val="24"/>
        </w:rPr>
      </w:pPr>
      <w:r>
        <w:rPr>
          <w:rFonts w:hint="eastAsia" w:ascii="宋体" w:hAnsi="宋体"/>
          <w:sz w:val="24"/>
          <w:u w:val="single"/>
        </w:rPr>
        <w:t xml:space="preserve">浙江广厦建设职业技术大学  </w:t>
      </w:r>
      <w:r>
        <w:rPr>
          <w:rFonts w:hint="eastAsia" w:ascii="宋体" w:hAnsi="宋体"/>
          <w:sz w:val="24"/>
        </w:rPr>
        <w:t>：</w:t>
      </w:r>
    </w:p>
    <w:p>
      <w:pPr>
        <w:spacing w:line="360" w:lineRule="auto"/>
        <w:ind w:left="479" w:leftChars="228"/>
        <w:rPr>
          <w:rFonts w:ascii="宋体" w:hAnsi="宋体"/>
          <w:sz w:val="24"/>
        </w:rPr>
      </w:pPr>
      <w:r>
        <w:rPr>
          <w:rFonts w:hint="eastAsia" w:ascii="宋体" w:hAnsi="宋体"/>
          <w:sz w:val="24"/>
        </w:rPr>
        <w:t>我方在参加贵单位的（项目编号）＿＿＿＿＿＿（项目名称）＿＿＿＿＿＿项目（标项名称）＿＿＿＿＿ 的招标活动中，郑重承诺如下：</w:t>
      </w:r>
    </w:p>
    <w:p>
      <w:pPr>
        <w:spacing w:line="360" w:lineRule="auto"/>
        <w:ind w:firstLine="480" w:firstLineChars="200"/>
        <w:rPr>
          <w:rFonts w:ascii="宋体" w:hAnsi="宋体"/>
          <w:sz w:val="24"/>
        </w:rPr>
      </w:pPr>
      <w:r>
        <w:rPr>
          <w:rFonts w:hint="eastAsia" w:ascii="宋体" w:hAnsi="宋体"/>
          <w:sz w:val="24"/>
        </w:rPr>
        <w:t>1、我方申报的所有资料都是真实、准确、完整的；</w:t>
      </w:r>
    </w:p>
    <w:p>
      <w:pPr>
        <w:spacing w:line="360" w:lineRule="auto"/>
        <w:ind w:firstLine="480" w:firstLineChars="200"/>
        <w:rPr>
          <w:rFonts w:ascii="宋体" w:hAnsi="宋体"/>
          <w:sz w:val="24"/>
        </w:rPr>
      </w:pPr>
      <w:r>
        <w:rPr>
          <w:rFonts w:hint="eastAsia" w:ascii="宋体" w:hAnsi="宋体"/>
          <w:sz w:val="24"/>
        </w:rPr>
        <w:t>2、我方无资质挂靠情形，保证不参与串通投标、抬高投标价格；</w:t>
      </w:r>
    </w:p>
    <w:p>
      <w:pPr>
        <w:spacing w:line="360" w:lineRule="auto"/>
        <w:ind w:firstLine="480" w:firstLineChars="200"/>
        <w:rPr>
          <w:rFonts w:ascii="宋体" w:hAnsi="宋体"/>
          <w:sz w:val="24"/>
        </w:rPr>
      </w:pPr>
      <w:r>
        <w:rPr>
          <w:rFonts w:hint="eastAsia" w:ascii="宋体" w:hAnsi="宋体"/>
          <w:sz w:val="24"/>
        </w:rPr>
        <w:t>3、我方未处于被各级行政主管部门做出停止市场行为处罚的期限内；</w:t>
      </w:r>
    </w:p>
    <w:p>
      <w:pPr>
        <w:spacing w:line="360" w:lineRule="auto"/>
        <w:ind w:firstLine="480" w:firstLineChars="200"/>
        <w:rPr>
          <w:rFonts w:ascii="宋体" w:hAnsi="宋体"/>
          <w:sz w:val="24"/>
        </w:rPr>
      </w:pPr>
      <w:r>
        <w:rPr>
          <w:rFonts w:hint="eastAsia" w:ascii="宋体" w:hAnsi="宋体"/>
          <w:sz w:val="24"/>
        </w:rPr>
        <w:t>4、我方参加本项目招标活动前3年内在经营活动中没有重大违法记录；</w:t>
      </w:r>
    </w:p>
    <w:p>
      <w:pPr>
        <w:spacing w:line="360" w:lineRule="auto"/>
        <w:ind w:firstLine="480" w:firstLineChars="200"/>
        <w:rPr>
          <w:rFonts w:ascii="宋体" w:hAnsi="宋体"/>
          <w:sz w:val="24"/>
        </w:rPr>
      </w:pPr>
      <w:r>
        <w:rPr>
          <w:rFonts w:hint="eastAsia" w:ascii="宋体" w:hAnsi="宋体"/>
          <w:sz w:val="24"/>
        </w:rPr>
        <w:t>5、若我方成为成交供应商，将严格按照规定及时与业主签订合同；</w:t>
      </w:r>
    </w:p>
    <w:p>
      <w:pPr>
        <w:spacing w:line="360" w:lineRule="auto"/>
        <w:ind w:firstLine="482" w:firstLineChars="200"/>
        <w:rPr>
          <w:rFonts w:ascii="宋体" w:hAnsi="宋体"/>
          <w:b/>
          <w:bCs/>
          <w:sz w:val="24"/>
        </w:rPr>
      </w:pPr>
      <w:r>
        <w:rPr>
          <w:rFonts w:hint="eastAsia" w:ascii="宋体" w:hAnsi="宋体"/>
          <w:b/>
          <w:bCs/>
          <w:sz w:val="24"/>
        </w:rPr>
        <w:t>6、若我方成为成交供应商，将严格按照招标文件技术要求及我司响应文件承诺的质量、供货时间、报价、投标方案等内容组织实施；</w:t>
      </w:r>
    </w:p>
    <w:p>
      <w:pPr>
        <w:spacing w:line="360" w:lineRule="auto"/>
        <w:ind w:firstLine="480" w:firstLineChars="200"/>
        <w:rPr>
          <w:rFonts w:ascii="宋体" w:hAnsi="宋体"/>
          <w:sz w:val="24"/>
        </w:rPr>
      </w:pPr>
      <w:r>
        <w:rPr>
          <w:rFonts w:hint="eastAsia" w:ascii="宋体" w:hAnsi="宋体"/>
          <w:sz w:val="24"/>
        </w:rPr>
        <w:t>我方若违反上述承诺，隐瞒、提供虚假资料或不按招标文件要求组织实施或参与串通投标、抬高投标价格等行为，被贵方发现或被他人举报查实，无条件接受采购人、行政监管部门作出的取消招标资格、成交资格、解除合同、拒绝后续招标，并自愿被列入不良行为记录、不守信用黑名单、政府采购黑名单等的处罚。对造成的损失，任何法律和经济责任完全由我司负责。</w:t>
      </w:r>
    </w:p>
    <w:p>
      <w:pPr>
        <w:spacing w:line="360" w:lineRule="auto"/>
        <w:ind w:firstLine="480" w:firstLineChars="200"/>
        <w:rPr>
          <w:rFonts w:ascii="宋体" w:hAnsi="宋体"/>
          <w:sz w:val="24"/>
        </w:rPr>
      </w:pPr>
      <w:r>
        <w:rPr>
          <w:rFonts w:hint="eastAsia" w:ascii="宋体" w:hAnsi="宋体"/>
          <w:sz w:val="24"/>
        </w:rPr>
        <w:t>特此承诺。</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napToGrid w:val="0"/>
        <w:spacing w:before="50" w:after="50"/>
        <w:ind w:left="-2" w:leftChars="-1" w:right="-817" w:rightChars="-389" w:firstLine="360" w:firstLineChars="150"/>
        <w:rPr>
          <w:rFonts w:ascii="宋体" w:hAnsi="宋体"/>
          <w:sz w:val="24"/>
        </w:rPr>
      </w:pPr>
      <w:r>
        <w:rPr>
          <w:rFonts w:hint="eastAsia" w:ascii="宋体" w:hAnsi="宋体"/>
          <w:sz w:val="24"/>
        </w:rPr>
        <w:t>法定代表人或委托代理人（签字或盖章）：</w:t>
      </w:r>
    </w:p>
    <w:p>
      <w:pPr>
        <w:snapToGrid w:val="0"/>
        <w:spacing w:before="50" w:after="50"/>
        <w:ind w:left="-2" w:leftChars="-1" w:right="-817" w:rightChars="-389" w:firstLine="360" w:firstLineChars="150"/>
        <w:rPr>
          <w:rFonts w:ascii="宋体" w:hAnsi="宋体"/>
          <w:sz w:val="24"/>
        </w:rPr>
      </w:pPr>
    </w:p>
    <w:p>
      <w:pPr>
        <w:snapToGrid w:val="0"/>
        <w:spacing w:before="50" w:after="50"/>
        <w:ind w:right="-817" w:rightChars="-389" w:firstLine="360" w:firstLineChars="150"/>
        <w:rPr>
          <w:rFonts w:ascii="宋体" w:hAnsi="宋体"/>
          <w:sz w:val="24"/>
        </w:rPr>
      </w:pPr>
      <w:r>
        <w:rPr>
          <w:rFonts w:hint="eastAsia" w:ascii="宋体" w:hAnsi="宋体"/>
          <w:sz w:val="24"/>
        </w:rPr>
        <w:t xml:space="preserve">投标人名称（盖章）：                                         </w:t>
      </w:r>
    </w:p>
    <w:p>
      <w:pPr>
        <w:snapToGrid w:val="0"/>
        <w:spacing w:before="50" w:after="50"/>
        <w:ind w:right="-817" w:rightChars="-389"/>
        <w:rPr>
          <w:rFonts w:ascii="宋体" w:hAnsi="宋体"/>
          <w:sz w:val="24"/>
        </w:rPr>
      </w:pPr>
    </w:p>
    <w:p>
      <w:pPr>
        <w:pStyle w:val="2"/>
        <w:ind w:firstLine="5760" w:firstLineChars="2400"/>
        <w:rPr>
          <w:rFonts w:ascii="宋体" w:hAnsi="宋体"/>
          <w:sz w:val="24"/>
        </w:rPr>
      </w:pPr>
      <w:r>
        <w:rPr>
          <w:rFonts w:hint="eastAsia" w:ascii="宋体" w:hAnsi="宋体"/>
          <w:sz w:val="24"/>
        </w:rPr>
        <w:t>日期：    年   月   日</w:t>
      </w:r>
    </w:p>
    <w:p>
      <w:pPr>
        <w:rPr>
          <w:rFonts w:ascii="宋体" w:hAnsi="宋体"/>
          <w:sz w:val="24"/>
        </w:rPr>
      </w:pPr>
    </w:p>
    <w:p>
      <w:pPr>
        <w:pStyle w:val="3"/>
        <w:rPr>
          <w:rFonts w:ascii="宋体" w:hAnsi="宋体"/>
          <w:sz w:val="24"/>
        </w:rPr>
      </w:pPr>
    </w:p>
    <w:p>
      <w:pPr>
        <w:pStyle w:val="31"/>
        <w:rPr>
          <w:rFonts w:ascii="宋体" w:hAnsi="宋体"/>
          <w:sz w:val="24"/>
        </w:rPr>
      </w:pPr>
    </w:p>
    <w:p>
      <w:pPr>
        <w:pStyle w:val="6"/>
        <w:rPr>
          <w:rFonts w:hAnsi="宋体"/>
          <w:b w:val="0"/>
          <w:sz w:val="24"/>
        </w:rPr>
      </w:pPr>
      <w:bookmarkStart w:id="23" w:name="_Toc28614"/>
      <w:r>
        <w:rPr>
          <w:rFonts w:hint="eastAsia" w:hAnsi="宋体"/>
          <w:b w:val="0"/>
          <w:sz w:val="24"/>
        </w:rPr>
        <w:t>附件五 商务、技术响应表</w:t>
      </w:r>
      <w:bookmarkEnd w:id="23"/>
    </w:p>
    <w:p>
      <w:pPr>
        <w:jc w:val="center"/>
        <w:rPr>
          <w:rFonts w:ascii="宋体" w:hAnsi="宋体"/>
          <w:b/>
          <w:sz w:val="30"/>
          <w:szCs w:val="30"/>
        </w:rPr>
      </w:pPr>
      <w:r>
        <w:rPr>
          <w:rFonts w:hint="eastAsia" w:ascii="宋体" w:hAnsi="宋体"/>
          <w:b/>
          <w:sz w:val="30"/>
          <w:szCs w:val="30"/>
        </w:rPr>
        <w:t>商务、技术响应表</w:t>
      </w:r>
    </w:p>
    <w:p>
      <w:pPr>
        <w:snapToGrid w:val="0"/>
        <w:spacing w:before="50" w:after="156" w:afterLines="50"/>
        <w:jc w:val="left"/>
        <w:rPr>
          <w:rFonts w:ascii="宋体" w:hAnsi="宋体"/>
          <w:sz w:val="24"/>
          <w:szCs w:val="20"/>
        </w:rPr>
      </w:pPr>
      <w:r>
        <w:rPr>
          <w:rFonts w:hint="eastAsia" w:ascii="宋体" w:hAnsi="宋体"/>
        </w:rPr>
        <w:t>谈判编号：</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1903"/>
        <w:gridCol w:w="2008"/>
        <w:gridCol w:w="1663"/>
        <w:gridCol w:w="2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jc w:val="center"/>
        </w:trPr>
        <w:tc>
          <w:tcPr>
            <w:tcW w:w="9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序号</w:t>
            </w:r>
          </w:p>
        </w:tc>
        <w:tc>
          <w:tcPr>
            <w:tcW w:w="19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内  容</w:t>
            </w:r>
          </w:p>
        </w:tc>
        <w:tc>
          <w:tcPr>
            <w:tcW w:w="20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谈判文件</w:t>
            </w:r>
          </w:p>
          <w:p>
            <w:pPr>
              <w:jc w:val="center"/>
              <w:rPr>
                <w:rFonts w:ascii="宋体" w:hAnsi="宋体"/>
                <w:sz w:val="24"/>
              </w:rPr>
            </w:pPr>
            <w:r>
              <w:rPr>
                <w:rFonts w:hint="eastAsia" w:ascii="宋体" w:hAnsi="宋体"/>
                <w:sz w:val="24"/>
              </w:rPr>
              <w:t>规范要求</w:t>
            </w:r>
          </w:p>
        </w:tc>
        <w:tc>
          <w:tcPr>
            <w:tcW w:w="16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谈判响应文件</w:t>
            </w:r>
          </w:p>
          <w:p>
            <w:pPr>
              <w:jc w:val="center"/>
              <w:rPr>
                <w:rFonts w:ascii="宋体" w:hAnsi="宋体"/>
                <w:sz w:val="24"/>
              </w:rPr>
            </w:pPr>
            <w:r>
              <w:rPr>
                <w:rFonts w:hint="eastAsia" w:ascii="宋体" w:hAnsi="宋体"/>
                <w:sz w:val="24"/>
              </w:rPr>
              <w:t>对应规范</w:t>
            </w:r>
          </w:p>
        </w:tc>
        <w:tc>
          <w:tcPr>
            <w:tcW w:w="238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偏离情况</w:t>
            </w:r>
          </w:p>
          <w:p>
            <w:pPr>
              <w:jc w:val="center"/>
              <w:rPr>
                <w:rFonts w:ascii="宋体" w:hAnsi="宋体"/>
                <w:sz w:val="24"/>
              </w:rPr>
            </w:pPr>
            <w:r>
              <w:rPr>
                <w:rFonts w:hint="eastAsia" w:ascii="宋体" w:hAnsi="宋体"/>
                <w:sz w:val="24"/>
              </w:rPr>
              <w:t>（注明正偏离、负偏离或无偏离）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01" w:type="dxa"/>
            <w:tcBorders>
              <w:top w:val="single" w:color="auto" w:sz="4" w:space="0"/>
              <w:left w:val="single" w:color="auto" w:sz="4" w:space="0"/>
              <w:bottom w:val="single" w:color="auto" w:sz="4" w:space="0"/>
              <w:right w:val="single" w:color="auto" w:sz="4" w:space="0"/>
            </w:tcBorders>
          </w:tcPr>
          <w:p>
            <w:pPr>
              <w:jc w:val="center"/>
              <w:rPr>
                <w:rFonts w:ascii="宋体" w:hAnsi="宋体"/>
                <w:sz w:val="24"/>
              </w:rPr>
            </w:pPr>
          </w:p>
        </w:tc>
        <w:tc>
          <w:tcPr>
            <w:tcW w:w="190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2008"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166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2389"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901"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190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2008"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166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2389"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901"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190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2008"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166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2389"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901"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190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2008"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166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2389"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901"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190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2008"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166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2389"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901"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190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2008"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166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2389"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901"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190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2008"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166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2389"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901"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190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2008"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166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2389"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901"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190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2008"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166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2389"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901"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190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2008"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166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2389"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901"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190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2008"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166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2389"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901"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190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2008"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166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2389"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r>
    </w:tbl>
    <w:p>
      <w:pPr>
        <w:snapToGrid w:val="0"/>
        <w:spacing w:before="50" w:after="50"/>
        <w:rPr>
          <w:rFonts w:ascii="宋体" w:hAnsi="宋体"/>
          <w:b/>
          <w:bCs/>
          <w:sz w:val="24"/>
          <w:szCs w:val="20"/>
        </w:rPr>
      </w:pPr>
    </w:p>
    <w:p>
      <w:pPr>
        <w:snapToGrid w:val="0"/>
        <w:spacing w:before="50" w:after="50"/>
        <w:rPr>
          <w:rFonts w:ascii="宋体" w:hAnsi="宋体"/>
          <w:b/>
          <w:bCs/>
          <w:spacing w:val="20"/>
          <w:sz w:val="24"/>
          <w:szCs w:val="20"/>
        </w:rPr>
      </w:pPr>
      <w:r>
        <w:rPr>
          <w:rFonts w:hint="eastAsia" w:ascii="宋体" w:hAnsi="宋体"/>
          <w:b/>
          <w:bCs/>
          <w:sz w:val="24"/>
          <w:szCs w:val="20"/>
        </w:rPr>
        <w:t>注：谈判响应方应根据投谈判项目的性能指标、对照竞争性谈判文件要求在“偏离情况”栏注明“正偏离”、“负偏离”或“无偏离”。</w:t>
      </w:r>
    </w:p>
    <w:p>
      <w:pPr>
        <w:snapToGrid w:val="0"/>
        <w:spacing w:before="50" w:after="50"/>
        <w:rPr>
          <w:rFonts w:ascii="宋体" w:hAnsi="宋体"/>
          <w:spacing w:val="20"/>
          <w:sz w:val="24"/>
        </w:rPr>
      </w:pPr>
    </w:p>
    <w:p>
      <w:pPr>
        <w:snapToGrid w:val="0"/>
        <w:spacing w:before="50" w:after="50"/>
        <w:rPr>
          <w:rFonts w:ascii="宋体" w:hAnsi="宋体"/>
          <w:spacing w:val="20"/>
          <w:sz w:val="24"/>
          <w:szCs w:val="20"/>
          <w:u w:val="single"/>
        </w:rPr>
      </w:pPr>
      <w:r>
        <w:rPr>
          <w:rFonts w:hint="eastAsia" w:ascii="宋体" w:hAnsi="宋体"/>
          <w:sz w:val="24"/>
        </w:rPr>
        <w:t>法定代表人或委托代理人签字</w:t>
      </w:r>
      <w:r>
        <w:rPr>
          <w:rFonts w:hint="eastAsia" w:ascii="宋体" w:hAnsi="宋体"/>
          <w:spacing w:val="20"/>
          <w:sz w:val="24"/>
        </w:rPr>
        <w:t>：</w:t>
      </w:r>
      <w:r>
        <w:rPr>
          <w:rFonts w:hint="eastAsia" w:ascii="宋体" w:hAnsi="宋体"/>
          <w:spacing w:val="20"/>
          <w:sz w:val="24"/>
          <w:u w:val="single"/>
        </w:rPr>
        <w:t xml:space="preserve">        </w:t>
      </w:r>
    </w:p>
    <w:p>
      <w:pPr>
        <w:snapToGrid w:val="0"/>
        <w:spacing w:before="50" w:after="50"/>
        <w:rPr>
          <w:rFonts w:ascii="宋体" w:hAnsi="宋体"/>
          <w:sz w:val="24"/>
          <w:szCs w:val="20"/>
        </w:rPr>
      </w:pPr>
      <w:r>
        <w:rPr>
          <w:rFonts w:hint="eastAsia" w:ascii="宋体" w:hAnsi="宋体"/>
          <w:spacing w:val="20"/>
          <w:sz w:val="24"/>
        </w:rPr>
        <w:t>谈判响应方盖章：</w:t>
      </w:r>
      <w:r>
        <w:rPr>
          <w:rFonts w:hint="eastAsia" w:ascii="宋体" w:hAnsi="宋体"/>
          <w:spacing w:val="20"/>
          <w:sz w:val="24"/>
          <w:u w:val="single"/>
        </w:rPr>
        <w:t xml:space="preserve">            </w:t>
      </w:r>
      <w:r>
        <w:rPr>
          <w:rFonts w:hint="eastAsia" w:ascii="宋体" w:hAnsi="宋体"/>
          <w:spacing w:val="20"/>
          <w:sz w:val="24"/>
        </w:rPr>
        <w:t xml:space="preserve">              日 期：</w:t>
      </w:r>
      <w:r>
        <w:rPr>
          <w:rFonts w:hint="eastAsia" w:ascii="宋体" w:hAnsi="宋体"/>
          <w:spacing w:val="20"/>
          <w:sz w:val="24"/>
          <w:u w:val="single"/>
        </w:rPr>
        <w:t xml:space="preserve">            </w:t>
      </w:r>
    </w:p>
    <w:p>
      <w:pPr>
        <w:spacing w:line="360" w:lineRule="auto"/>
        <w:rPr>
          <w:rFonts w:ascii="宋体" w:hAnsi="宋体"/>
        </w:rPr>
      </w:pPr>
    </w:p>
    <w:p>
      <w:pPr>
        <w:pStyle w:val="12"/>
        <w:spacing w:line="480" w:lineRule="auto"/>
        <w:rPr>
          <w:rFonts w:hAnsi="宋体"/>
        </w:rPr>
      </w:pPr>
    </w:p>
    <w:p>
      <w:pPr>
        <w:pStyle w:val="12"/>
        <w:spacing w:line="480" w:lineRule="auto"/>
        <w:rPr>
          <w:rFonts w:hAnsi="宋体"/>
        </w:rPr>
      </w:pPr>
    </w:p>
    <w:p>
      <w:pPr>
        <w:rPr>
          <w:rFonts w:hAnsi="宋体"/>
        </w:rPr>
      </w:pPr>
    </w:p>
    <w:p>
      <w:pPr>
        <w:pStyle w:val="6"/>
        <w:rPr>
          <w:rFonts w:hAnsi="宋体"/>
          <w:b w:val="0"/>
          <w:sz w:val="24"/>
        </w:rPr>
      </w:pPr>
      <w:bookmarkStart w:id="24" w:name="_Toc11586"/>
      <w:r>
        <w:rPr>
          <w:rFonts w:hint="eastAsia" w:hAnsi="宋体"/>
          <w:b w:val="0"/>
          <w:sz w:val="24"/>
        </w:rPr>
        <w:t>附件</w:t>
      </w:r>
      <w:r>
        <w:rPr>
          <w:rFonts w:hint="eastAsia" w:hAnsi="宋体"/>
          <w:b w:val="0"/>
          <w:sz w:val="24"/>
          <w:lang w:eastAsia="zh-CN"/>
        </w:rPr>
        <w:t>六</w:t>
      </w:r>
      <w:r>
        <w:rPr>
          <w:rFonts w:hint="eastAsia" w:hAnsi="宋体"/>
          <w:b w:val="0"/>
          <w:sz w:val="24"/>
        </w:rPr>
        <w:t xml:space="preserve"> </w:t>
      </w:r>
      <w:r>
        <w:rPr>
          <w:rFonts w:hint="eastAsia" w:hAnsi="宋体"/>
          <w:b w:val="0"/>
          <w:sz w:val="24"/>
          <w:lang w:eastAsia="zh-CN"/>
        </w:rPr>
        <w:t>供货及投标报价表</w:t>
      </w:r>
      <w:bookmarkEnd w:id="24"/>
    </w:p>
    <w:p>
      <w:pPr>
        <w:jc w:val="center"/>
        <w:rPr>
          <w:rFonts w:hint="eastAsia" w:ascii="宋体" w:hAnsi="宋体" w:eastAsia="宋体"/>
          <w:b/>
          <w:sz w:val="30"/>
          <w:szCs w:val="30"/>
          <w:lang w:eastAsia="zh-CN"/>
        </w:rPr>
      </w:pPr>
      <w:r>
        <w:rPr>
          <w:rFonts w:hint="eastAsia" w:ascii="宋体" w:hAnsi="宋体"/>
          <w:b/>
          <w:sz w:val="30"/>
          <w:szCs w:val="30"/>
          <w:lang w:eastAsia="zh-CN"/>
        </w:rPr>
        <w:t>供货及投标报价表</w:t>
      </w:r>
    </w:p>
    <w:p>
      <w:pPr>
        <w:snapToGrid w:val="0"/>
        <w:spacing w:before="50" w:after="156" w:afterLines="50"/>
        <w:jc w:val="left"/>
      </w:pPr>
      <w:r>
        <w:rPr>
          <w:rFonts w:hint="eastAsia" w:ascii="宋体" w:hAnsi="宋体"/>
        </w:rPr>
        <w:t>谈判编号：</w:t>
      </w:r>
    </w:p>
    <w:tbl>
      <w:tblPr>
        <w:tblStyle w:val="21"/>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244"/>
        <w:gridCol w:w="1456"/>
        <w:gridCol w:w="1080"/>
        <w:gridCol w:w="900"/>
        <w:gridCol w:w="900"/>
        <w:gridCol w:w="720"/>
        <w:gridCol w:w="791"/>
        <w:gridCol w:w="900"/>
        <w:gridCol w:w="118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368" w:hRule="atLeast"/>
          <w:jc w:val="center"/>
        </w:trPr>
        <w:tc>
          <w:tcPr>
            <w:tcW w:w="900" w:type="dxa"/>
            <w:noWrap w:val="0"/>
            <w:vAlign w:val="center"/>
          </w:tcPr>
          <w:p>
            <w:pPr>
              <w:adjustRightInd w:val="0"/>
              <w:snapToGrid w:val="0"/>
              <w:spacing w:line="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244" w:type="dxa"/>
            <w:noWrap w:val="0"/>
            <w:vAlign w:val="center"/>
          </w:tcPr>
          <w:p>
            <w:pPr>
              <w:adjustRightInd w:val="0"/>
              <w:snapToGrid w:val="0"/>
              <w:spacing w:line="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品目号</w:t>
            </w:r>
          </w:p>
        </w:tc>
        <w:tc>
          <w:tcPr>
            <w:tcW w:w="1456" w:type="dxa"/>
            <w:noWrap w:val="0"/>
            <w:vAlign w:val="center"/>
          </w:tcPr>
          <w:p>
            <w:pPr>
              <w:adjustRightInd w:val="0"/>
              <w:snapToGrid w:val="0"/>
              <w:spacing w:line="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货物名称</w:t>
            </w:r>
          </w:p>
        </w:tc>
        <w:tc>
          <w:tcPr>
            <w:tcW w:w="1080" w:type="dxa"/>
            <w:noWrap w:val="0"/>
            <w:vAlign w:val="center"/>
          </w:tcPr>
          <w:p>
            <w:pPr>
              <w:adjustRightInd w:val="0"/>
              <w:snapToGrid w:val="0"/>
              <w:spacing w:line="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产品</w:t>
            </w:r>
          </w:p>
          <w:p>
            <w:pPr>
              <w:adjustRightInd w:val="0"/>
              <w:snapToGrid w:val="0"/>
              <w:spacing w:line="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型号</w:t>
            </w:r>
          </w:p>
        </w:tc>
        <w:tc>
          <w:tcPr>
            <w:tcW w:w="900" w:type="dxa"/>
            <w:noWrap w:val="0"/>
            <w:vAlign w:val="center"/>
          </w:tcPr>
          <w:p>
            <w:pPr>
              <w:adjustRightInd w:val="0"/>
              <w:snapToGrid w:val="0"/>
              <w:spacing w:line="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生产厂家</w:t>
            </w:r>
          </w:p>
        </w:tc>
        <w:tc>
          <w:tcPr>
            <w:tcW w:w="900" w:type="dxa"/>
            <w:noWrap w:val="0"/>
            <w:vAlign w:val="center"/>
          </w:tcPr>
          <w:p>
            <w:pPr>
              <w:adjustRightInd w:val="0"/>
              <w:snapToGrid w:val="0"/>
              <w:spacing w:line="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产地</w:t>
            </w:r>
          </w:p>
        </w:tc>
        <w:tc>
          <w:tcPr>
            <w:tcW w:w="720" w:type="dxa"/>
            <w:noWrap w:val="0"/>
            <w:vAlign w:val="center"/>
          </w:tcPr>
          <w:p>
            <w:pPr>
              <w:adjustRightInd w:val="0"/>
              <w:snapToGrid w:val="0"/>
              <w:spacing w:line="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数量</w:t>
            </w:r>
          </w:p>
        </w:tc>
        <w:tc>
          <w:tcPr>
            <w:tcW w:w="791" w:type="dxa"/>
            <w:noWrap w:val="0"/>
            <w:vAlign w:val="center"/>
          </w:tcPr>
          <w:p>
            <w:pPr>
              <w:adjustRightInd w:val="0"/>
              <w:snapToGrid w:val="0"/>
              <w:spacing w:line="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综合单价</w:t>
            </w:r>
          </w:p>
        </w:tc>
        <w:tc>
          <w:tcPr>
            <w:tcW w:w="900" w:type="dxa"/>
            <w:noWrap w:val="0"/>
            <w:vAlign w:val="center"/>
          </w:tcPr>
          <w:p>
            <w:pPr>
              <w:adjustRightInd w:val="0"/>
              <w:snapToGrid w:val="0"/>
              <w:spacing w:line="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小计</w:t>
            </w:r>
          </w:p>
        </w:tc>
        <w:tc>
          <w:tcPr>
            <w:tcW w:w="1189" w:type="dxa"/>
            <w:noWrap w:val="0"/>
            <w:vAlign w:val="center"/>
          </w:tcPr>
          <w:p>
            <w:pPr>
              <w:adjustRightInd w:val="0"/>
              <w:snapToGrid w:val="0"/>
              <w:spacing w:line="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00" w:type="dxa"/>
            <w:noWrap w:val="0"/>
            <w:vAlign w:val="center"/>
          </w:tcPr>
          <w:p>
            <w:pPr>
              <w:adjustRightInd w:val="0"/>
              <w:snapToGrid w:val="0"/>
              <w:spacing w:line="0" w:lineRule="atLeast"/>
              <w:rPr>
                <w:rFonts w:hint="eastAsia" w:asciiTheme="minorEastAsia" w:hAnsiTheme="minorEastAsia" w:eastAsiaTheme="minorEastAsia" w:cstheme="minorEastAsia"/>
                <w:sz w:val="24"/>
                <w:szCs w:val="24"/>
              </w:rPr>
            </w:pPr>
          </w:p>
        </w:tc>
        <w:tc>
          <w:tcPr>
            <w:tcW w:w="1244" w:type="dxa"/>
            <w:noWrap w:val="0"/>
            <w:vAlign w:val="center"/>
          </w:tcPr>
          <w:p>
            <w:pPr>
              <w:adjustRightInd w:val="0"/>
              <w:snapToGrid w:val="0"/>
              <w:spacing w:line="0" w:lineRule="atLeast"/>
              <w:rPr>
                <w:rFonts w:hint="eastAsia" w:asciiTheme="minorEastAsia" w:hAnsiTheme="minorEastAsia" w:eastAsiaTheme="minorEastAsia" w:cstheme="minorEastAsia"/>
                <w:sz w:val="24"/>
                <w:szCs w:val="24"/>
              </w:rPr>
            </w:pPr>
          </w:p>
        </w:tc>
        <w:tc>
          <w:tcPr>
            <w:tcW w:w="1456" w:type="dxa"/>
            <w:noWrap w:val="0"/>
            <w:vAlign w:val="center"/>
          </w:tcPr>
          <w:p>
            <w:pPr>
              <w:adjustRightInd w:val="0"/>
              <w:snapToGrid w:val="0"/>
              <w:spacing w:line="0" w:lineRule="atLeast"/>
              <w:rPr>
                <w:rFonts w:hint="eastAsia" w:asciiTheme="minorEastAsia" w:hAnsiTheme="minorEastAsia" w:eastAsiaTheme="minorEastAsia" w:cstheme="minorEastAsia"/>
                <w:sz w:val="24"/>
                <w:szCs w:val="24"/>
              </w:rPr>
            </w:pPr>
          </w:p>
        </w:tc>
        <w:tc>
          <w:tcPr>
            <w:tcW w:w="1080" w:type="dxa"/>
            <w:noWrap w:val="0"/>
            <w:vAlign w:val="center"/>
          </w:tcPr>
          <w:p>
            <w:pPr>
              <w:adjustRightInd w:val="0"/>
              <w:snapToGrid w:val="0"/>
              <w:spacing w:line="0" w:lineRule="atLeast"/>
              <w:rPr>
                <w:rFonts w:hint="eastAsia" w:asciiTheme="minorEastAsia" w:hAnsiTheme="minorEastAsia" w:eastAsiaTheme="minorEastAsia" w:cstheme="minorEastAsia"/>
                <w:sz w:val="24"/>
                <w:szCs w:val="24"/>
              </w:rPr>
            </w:pPr>
          </w:p>
        </w:tc>
        <w:tc>
          <w:tcPr>
            <w:tcW w:w="900" w:type="dxa"/>
            <w:noWrap w:val="0"/>
            <w:vAlign w:val="center"/>
          </w:tcPr>
          <w:p>
            <w:pPr>
              <w:adjustRightInd w:val="0"/>
              <w:snapToGrid w:val="0"/>
              <w:spacing w:line="0" w:lineRule="atLeast"/>
              <w:rPr>
                <w:rFonts w:hint="eastAsia" w:asciiTheme="minorEastAsia" w:hAnsiTheme="minorEastAsia" w:eastAsiaTheme="minorEastAsia" w:cstheme="minorEastAsia"/>
                <w:sz w:val="24"/>
                <w:szCs w:val="24"/>
              </w:rPr>
            </w:pPr>
          </w:p>
        </w:tc>
        <w:tc>
          <w:tcPr>
            <w:tcW w:w="900" w:type="dxa"/>
            <w:noWrap w:val="0"/>
            <w:vAlign w:val="center"/>
          </w:tcPr>
          <w:p>
            <w:pPr>
              <w:adjustRightInd w:val="0"/>
              <w:snapToGrid w:val="0"/>
              <w:spacing w:line="0" w:lineRule="atLeast"/>
              <w:rPr>
                <w:rFonts w:hint="eastAsia" w:asciiTheme="minorEastAsia" w:hAnsiTheme="minorEastAsia" w:eastAsiaTheme="minorEastAsia" w:cstheme="minorEastAsia"/>
                <w:sz w:val="24"/>
                <w:szCs w:val="24"/>
              </w:rPr>
            </w:pPr>
          </w:p>
        </w:tc>
        <w:tc>
          <w:tcPr>
            <w:tcW w:w="720" w:type="dxa"/>
            <w:noWrap w:val="0"/>
            <w:vAlign w:val="center"/>
          </w:tcPr>
          <w:p>
            <w:pPr>
              <w:adjustRightInd w:val="0"/>
              <w:snapToGrid w:val="0"/>
              <w:spacing w:line="0" w:lineRule="atLeast"/>
              <w:rPr>
                <w:rFonts w:hint="eastAsia" w:asciiTheme="minorEastAsia" w:hAnsiTheme="minorEastAsia" w:eastAsiaTheme="minorEastAsia" w:cstheme="minorEastAsia"/>
                <w:sz w:val="24"/>
                <w:szCs w:val="24"/>
              </w:rPr>
            </w:pPr>
          </w:p>
        </w:tc>
        <w:tc>
          <w:tcPr>
            <w:tcW w:w="791" w:type="dxa"/>
            <w:noWrap w:val="0"/>
            <w:vAlign w:val="center"/>
          </w:tcPr>
          <w:p>
            <w:pPr>
              <w:adjustRightInd w:val="0"/>
              <w:snapToGrid w:val="0"/>
              <w:spacing w:line="0" w:lineRule="atLeast"/>
              <w:rPr>
                <w:rFonts w:hint="eastAsia" w:asciiTheme="minorEastAsia" w:hAnsiTheme="minorEastAsia" w:eastAsiaTheme="minorEastAsia" w:cstheme="minorEastAsia"/>
                <w:sz w:val="24"/>
                <w:szCs w:val="24"/>
              </w:rPr>
            </w:pPr>
          </w:p>
        </w:tc>
        <w:tc>
          <w:tcPr>
            <w:tcW w:w="900" w:type="dxa"/>
            <w:noWrap w:val="0"/>
            <w:vAlign w:val="center"/>
          </w:tcPr>
          <w:p>
            <w:pPr>
              <w:adjustRightInd w:val="0"/>
              <w:snapToGrid w:val="0"/>
              <w:spacing w:line="0" w:lineRule="atLeast"/>
              <w:rPr>
                <w:rFonts w:hint="eastAsia" w:asciiTheme="minorEastAsia" w:hAnsiTheme="minorEastAsia" w:eastAsiaTheme="minorEastAsia" w:cstheme="minorEastAsia"/>
                <w:sz w:val="24"/>
                <w:szCs w:val="24"/>
              </w:rPr>
            </w:pPr>
          </w:p>
        </w:tc>
        <w:tc>
          <w:tcPr>
            <w:tcW w:w="1189" w:type="dxa"/>
            <w:noWrap w:val="0"/>
            <w:vAlign w:val="center"/>
          </w:tcPr>
          <w:p>
            <w:pPr>
              <w:adjustRightInd w:val="0"/>
              <w:snapToGrid w:val="0"/>
              <w:spacing w:line="0" w:lineRule="atLeast"/>
              <w:rPr>
                <w:rFonts w:hint="eastAsia" w:asciiTheme="minorEastAsia" w:hAnsiTheme="minorEastAsia" w:eastAsiaTheme="minorEastAsia" w:cstheme="minorEastAsia"/>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00" w:type="dxa"/>
            <w:noWrap w:val="0"/>
            <w:vAlign w:val="center"/>
          </w:tcPr>
          <w:p>
            <w:pPr>
              <w:adjustRightInd w:val="0"/>
              <w:snapToGrid w:val="0"/>
              <w:spacing w:line="0" w:lineRule="atLeast"/>
              <w:rPr>
                <w:rFonts w:hint="eastAsia" w:asciiTheme="minorEastAsia" w:hAnsiTheme="minorEastAsia" w:eastAsiaTheme="minorEastAsia" w:cstheme="minorEastAsia"/>
                <w:sz w:val="24"/>
                <w:szCs w:val="24"/>
              </w:rPr>
            </w:pPr>
          </w:p>
        </w:tc>
        <w:tc>
          <w:tcPr>
            <w:tcW w:w="1244" w:type="dxa"/>
            <w:noWrap w:val="0"/>
            <w:vAlign w:val="center"/>
          </w:tcPr>
          <w:p>
            <w:pPr>
              <w:adjustRightInd w:val="0"/>
              <w:snapToGrid w:val="0"/>
              <w:spacing w:line="0" w:lineRule="atLeast"/>
              <w:rPr>
                <w:rFonts w:hint="eastAsia" w:asciiTheme="minorEastAsia" w:hAnsiTheme="minorEastAsia" w:eastAsiaTheme="minorEastAsia" w:cstheme="minorEastAsia"/>
                <w:sz w:val="24"/>
                <w:szCs w:val="24"/>
              </w:rPr>
            </w:pPr>
          </w:p>
        </w:tc>
        <w:tc>
          <w:tcPr>
            <w:tcW w:w="1456" w:type="dxa"/>
            <w:noWrap w:val="0"/>
            <w:vAlign w:val="center"/>
          </w:tcPr>
          <w:p>
            <w:pPr>
              <w:adjustRightInd w:val="0"/>
              <w:snapToGrid w:val="0"/>
              <w:spacing w:line="0" w:lineRule="atLeast"/>
              <w:rPr>
                <w:rFonts w:hint="eastAsia" w:asciiTheme="minorEastAsia" w:hAnsiTheme="minorEastAsia" w:eastAsiaTheme="minorEastAsia" w:cstheme="minorEastAsia"/>
                <w:sz w:val="24"/>
                <w:szCs w:val="24"/>
              </w:rPr>
            </w:pPr>
          </w:p>
        </w:tc>
        <w:tc>
          <w:tcPr>
            <w:tcW w:w="1080" w:type="dxa"/>
            <w:noWrap w:val="0"/>
            <w:vAlign w:val="center"/>
          </w:tcPr>
          <w:p>
            <w:pPr>
              <w:adjustRightInd w:val="0"/>
              <w:snapToGrid w:val="0"/>
              <w:spacing w:line="0" w:lineRule="atLeast"/>
              <w:rPr>
                <w:rFonts w:hint="eastAsia" w:asciiTheme="minorEastAsia" w:hAnsiTheme="minorEastAsia" w:eastAsiaTheme="minorEastAsia" w:cstheme="minorEastAsia"/>
                <w:sz w:val="24"/>
                <w:szCs w:val="24"/>
              </w:rPr>
            </w:pPr>
          </w:p>
        </w:tc>
        <w:tc>
          <w:tcPr>
            <w:tcW w:w="900" w:type="dxa"/>
            <w:noWrap w:val="0"/>
            <w:vAlign w:val="center"/>
          </w:tcPr>
          <w:p>
            <w:pPr>
              <w:adjustRightInd w:val="0"/>
              <w:snapToGrid w:val="0"/>
              <w:spacing w:line="0" w:lineRule="atLeast"/>
              <w:rPr>
                <w:rFonts w:hint="eastAsia" w:asciiTheme="minorEastAsia" w:hAnsiTheme="minorEastAsia" w:eastAsiaTheme="minorEastAsia" w:cstheme="minorEastAsia"/>
                <w:sz w:val="24"/>
                <w:szCs w:val="24"/>
              </w:rPr>
            </w:pPr>
          </w:p>
        </w:tc>
        <w:tc>
          <w:tcPr>
            <w:tcW w:w="900" w:type="dxa"/>
            <w:noWrap w:val="0"/>
            <w:vAlign w:val="center"/>
          </w:tcPr>
          <w:p>
            <w:pPr>
              <w:adjustRightInd w:val="0"/>
              <w:snapToGrid w:val="0"/>
              <w:spacing w:line="0" w:lineRule="atLeast"/>
              <w:rPr>
                <w:rFonts w:hint="eastAsia" w:asciiTheme="minorEastAsia" w:hAnsiTheme="minorEastAsia" w:eastAsiaTheme="minorEastAsia" w:cstheme="minorEastAsia"/>
                <w:sz w:val="24"/>
                <w:szCs w:val="24"/>
              </w:rPr>
            </w:pPr>
          </w:p>
        </w:tc>
        <w:tc>
          <w:tcPr>
            <w:tcW w:w="720" w:type="dxa"/>
            <w:noWrap w:val="0"/>
            <w:vAlign w:val="center"/>
          </w:tcPr>
          <w:p>
            <w:pPr>
              <w:adjustRightInd w:val="0"/>
              <w:snapToGrid w:val="0"/>
              <w:spacing w:line="0" w:lineRule="atLeast"/>
              <w:rPr>
                <w:rFonts w:hint="eastAsia" w:asciiTheme="minorEastAsia" w:hAnsiTheme="minorEastAsia" w:eastAsiaTheme="minorEastAsia" w:cstheme="minorEastAsia"/>
                <w:sz w:val="24"/>
                <w:szCs w:val="24"/>
              </w:rPr>
            </w:pPr>
          </w:p>
        </w:tc>
        <w:tc>
          <w:tcPr>
            <w:tcW w:w="791" w:type="dxa"/>
            <w:noWrap w:val="0"/>
            <w:vAlign w:val="center"/>
          </w:tcPr>
          <w:p>
            <w:pPr>
              <w:adjustRightInd w:val="0"/>
              <w:snapToGrid w:val="0"/>
              <w:spacing w:line="0" w:lineRule="atLeast"/>
              <w:rPr>
                <w:rFonts w:hint="eastAsia" w:asciiTheme="minorEastAsia" w:hAnsiTheme="minorEastAsia" w:eastAsiaTheme="minorEastAsia" w:cstheme="minorEastAsia"/>
                <w:sz w:val="24"/>
                <w:szCs w:val="24"/>
              </w:rPr>
            </w:pPr>
          </w:p>
        </w:tc>
        <w:tc>
          <w:tcPr>
            <w:tcW w:w="900" w:type="dxa"/>
            <w:noWrap w:val="0"/>
            <w:vAlign w:val="center"/>
          </w:tcPr>
          <w:p>
            <w:pPr>
              <w:adjustRightInd w:val="0"/>
              <w:snapToGrid w:val="0"/>
              <w:spacing w:line="0" w:lineRule="atLeast"/>
              <w:rPr>
                <w:rFonts w:hint="eastAsia" w:asciiTheme="minorEastAsia" w:hAnsiTheme="minorEastAsia" w:eastAsiaTheme="minorEastAsia" w:cstheme="minorEastAsia"/>
                <w:sz w:val="24"/>
                <w:szCs w:val="24"/>
              </w:rPr>
            </w:pPr>
          </w:p>
        </w:tc>
        <w:tc>
          <w:tcPr>
            <w:tcW w:w="1189" w:type="dxa"/>
            <w:noWrap w:val="0"/>
            <w:vAlign w:val="center"/>
          </w:tcPr>
          <w:p>
            <w:pPr>
              <w:adjustRightInd w:val="0"/>
              <w:snapToGrid w:val="0"/>
              <w:spacing w:line="0" w:lineRule="atLeast"/>
              <w:rPr>
                <w:rFonts w:hint="eastAsia" w:asciiTheme="minorEastAsia" w:hAnsiTheme="minorEastAsia" w:eastAsiaTheme="minorEastAsia" w:cstheme="minorEastAsia"/>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2" w:hRule="atLeast"/>
          <w:jc w:val="center"/>
        </w:trPr>
        <w:tc>
          <w:tcPr>
            <w:tcW w:w="4680" w:type="dxa"/>
            <w:gridSpan w:val="4"/>
            <w:noWrap w:val="0"/>
            <w:vAlign w:val="center"/>
          </w:tcPr>
          <w:p>
            <w:pPr>
              <w:adjustRightInd w:val="0"/>
              <w:snapToGrid w:val="0"/>
              <w:spacing w:line="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合计</w:t>
            </w:r>
          </w:p>
        </w:tc>
        <w:tc>
          <w:tcPr>
            <w:tcW w:w="900" w:type="dxa"/>
            <w:noWrap w:val="0"/>
            <w:vAlign w:val="center"/>
          </w:tcPr>
          <w:p>
            <w:pPr>
              <w:adjustRightInd w:val="0"/>
              <w:snapToGrid w:val="0"/>
              <w:spacing w:line="0" w:lineRule="atLeast"/>
              <w:rPr>
                <w:rFonts w:hint="eastAsia" w:asciiTheme="minorEastAsia" w:hAnsiTheme="minorEastAsia" w:eastAsiaTheme="minorEastAsia" w:cstheme="minorEastAsia"/>
                <w:sz w:val="24"/>
                <w:szCs w:val="24"/>
              </w:rPr>
            </w:pPr>
          </w:p>
        </w:tc>
        <w:tc>
          <w:tcPr>
            <w:tcW w:w="900" w:type="dxa"/>
            <w:noWrap w:val="0"/>
            <w:vAlign w:val="center"/>
          </w:tcPr>
          <w:p>
            <w:pPr>
              <w:adjustRightInd w:val="0"/>
              <w:snapToGrid w:val="0"/>
              <w:spacing w:line="0" w:lineRule="atLeast"/>
              <w:rPr>
                <w:rFonts w:hint="eastAsia" w:asciiTheme="minorEastAsia" w:hAnsiTheme="minorEastAsia" w:eastAsiaTheme="minorEastAsia" w:cstheme="minorEastAsia"/>
                <w:sz w:val="24"/>
                <w:szCs w:val="24"/>
              </w:rPr>
            </w:pPr>
          </w:p>
        </w:tc>
        <w:tc>
          <w:tcPr>
            <w:tcW w:w="720" w:type="dxa"/>
            <w:noWrap w:val="0"/>
            <w:vAlign w:val="center"/>
          </w:tcPr>
          <w:p>
            <w:pPr>
              <w:adjustRightInd w:val="0"/>
              <w:snapToGrid w:val="0"/>
              <w:spacing w:line="0" w:lineRule="atLeast"/>
              <w:rPr>
                <w:rFonts w:hint="eastAsia" w:asciiTheme="minorEastAsia" w:hAnsiTheme="minorEastAsia" w:eastAsiaTheme="minorEastAsia" w:cstheme="minorEastAsia"/>
                <w:sz w:val="24"/>
                <w:szCs w:val="24"/>
              </w:rPr>
            </w:pPr>
          </w:p>
        </w:tc>
        <w:tc>
          <w:tcPr>
            <w:tcW w:w="791" w:type="dxa"/>
            <w:noWrap w:val="0"/>
            <w:vAlign w:val="center"/>
          </w:tcPr>
          <w:p>
            <w:pPr>
              <w:adjustRightInd w:val="0"/>
              <w:snapToGrid w:val="0"/>
              <w:spacing w:line="0" w:lineRule="atLeast"/>
              <w:rPr>
                <w:rFonts w:hint="eastAsia" w:asciiTheme="minorEastAsia" w:hAnsiTheme="minorEastAsia" w:eastAsiaTheme="minorEastAsia" w:cstheme="minorEastAsia"/>
                <w:sz w:val="24"/>
                <w:szCs w:val="24"/>
              </w:rPr>
            </w:pPr>
          </w:p>
        </w:tc>
        <w:tc>
          <w:tcPr>
            <w:tcW w:w="900" w:type="dxa"/>
            <w:noWrap w:val="0"/>
            <w:vAlign w:val="center"/>
          </w:tcPr>
          <w:p>
            <w:pPr>
              <w:adjustRightInd w:val="0"/>
              <w:snapToGrid w:val="0"/>
              <w:spacing w:line="0" w:lineRule="atLeast"/>
              <w:rPr>
                <w:rFonts w:hint="eastAsia" w:asciiTheme="minorEastAsia" w:hAnsiTheme="minorEastAsia" w:eastAsiaTheme="minorEastAsia" w:cstheme="minorEastAsia"/>
                <w:sz w:val="24"/>
                <w:szCs w:val="24"/>
              </w:rPr>
            </w:pPr>
          </w:p>
        </w:tc>
        <w:tc>
          <w:tcPr>
            <w:tcW w:w="1189" w:type="dxa"/>
            <w:noWrap w:val="0"/>
            <w:vAlign w:val="center"/>
          </w:tcPr>
          <w:p>
            <w:pPr>
              <w:adjustRightInd w:val="0"/>
              <w:snapToGrid w:val="0"/>
              <w:spacing w:line="0" w:lineRule="atLeast"/>
              <w:rPr>
                <w:rFonts w:hint="eastAsia" w:asciiTheme="minorEastAsia" w:hAnsiTheme="minorEastAsia" w:eastAsiaTheme="minorEastAsia" w:cstheme="minorEastAsia"/>
                <w:sz w:val="24"/>
                <w:szCs w:val="24"/>
              </w:rPr>
            </w:pPr>
          </w:p>
        </w:tc>
      </w:tr>
    </w:tbl>
    <w:p>
      <w:pPr>
        <w:adjustRightInd w:val="0"/>
        <w:snapToGrid w:val="0"/>
        <w:spacing w:line="0" w:lineRule="atLeast"/>
        <w:rPr>
          <w:rFonts w:hint="eastAsia" w:ascii="方正仿宋_GBK" w:hAnsi="Trebuchet MS" w:eastAsia="方正仿宋_GBK"/>
          <w:sz w:val="24"/>
        </w:rPr>
      </w:pPr>
      <w:r>
        <w:rPr>
          <w:rFonts w:hint="eastAsia" w:ascii="方正仿宋_GBK" w:hAnsi="Trebuchet MS" w:eastAsia="方正仿宋_GBK"/>
          <w:b/>
          <w:sz w:val="24"/>
        </w:rPr>
        <w:t>注：“产地”应如实填写产品的最终生产或组装地。</w:t>
      </w:r>
    </w:p>
    <w:p>
      <w:pPr>
        <w:adjustRightInd w:val="0"/>
        <w:snapToGrid w:val="0"/>
        <w:spacing w:line="0" w:lineRule="atLeast"/>
        <w:rPr>
          <w:rFonts w:hint="eastAsia" w:ascii="方正仿宋_GBK" w:hAnsi="Trebuchet MS" w:eastAsia="方正仿宋_GBK"/>
          <w:sz w:val="24"/>
        </w:rPr>
      </w:pPr>
      <w:r>
        <w:rPr>
          <w:rFonts w:hint="eastAsia" w:ascii="方正仿宋_GBK" w:hAnsi="Trebuchet MS" w:eastAsia="方正仿宋_GBK"/>
          <w:sz w:val="24"/>
        </w:rPr>
        <w:t>投标人（公章）:</w:t>
      </w:r>
      <w:r>
        <w:rPr>
          <w:rFonts w:hint="eastAsia" w:ascii="方正仿宋_GBK" w:hAnsi="Trebuchet MS" w:eastAsia="方正仿宋_GBK"/>
          <w:sz w:val="24"/>
          <w:u w:val="single"/>
        </w:rPr>
        <w:t xml:space="preserve">                     </w:t>
      </w:r>
    </w:p>
    <w:p>
      <w:pPr>
        <w:pStyle w:val="20"/>
        <w:ind w:left="0" w:leftChars="0" w:firstLine="0" w:firstLineChars="0"/>
        <w:rPr>
          <w:sz w:val="24"/>
          <w:highlight w:val="green"/>
        </w:rPr>
      </w:pPr>
    </w:p>
    <w:p>
      <w:pPr>
        <w:pStyle w:val="20"/>
        <w:ind w:left="0" w:leftChars="0" w:firstLine="0" w:firstLineChars="0"/>
        <w:rPr>
          <w:sz w:val="24"/>
          <w:highlight w:val="green"/>
        </w:rPr>
      </w:pPr>
    </w:p>
    <w:p>
      <w:pPr>
        <w:pStyle w:val="6"/>
        <w:rPr>
          <w:rFonts w:hAnsi="宋体"/>
          <w:b w:val="0"/>
          <w:sz w:val="24"/>
        </w:rPr>
      </w:pPr>
      <w:bookmarkStart w:id="25" w:name="_Toc22278"/>
      <w:r>
        <w:rPr>
          <w:rFonts w:hint="eastAsia" w:hAnsi="宋体"/>
          <w:b w:val="0"/>
          <w:sz w:val="24"/>
        </w:rPr>
        <w:t>附件</w:t>
      </w:r>
      <w:r>
        <w:rPr>
          <w:rFonts w:hint="eastAsia" w:hAnsi="宋体"/>
          <w:b w:val="0"/>
          <w:sz w:val="24"/>
          <w:lang w:eastAsia="zh-CN"/>
        </w:rPr>
        <w:t>七</w:t>
      </w:r>
      <w:r>
        <w:rPr>
          <w:rFonts w:hint="eastAsia" w:hAnsi="宋体"/>
          <w:b w:val="0"/>
          <w:sz w:val="24"/>
        </w:rPr>
        <w:t xml:space="preserve"> </w:t>
      </w:r>
      <w:r>
        <w:rPr>
          <w:rFonts w:hint="eastAsia" w:hAnsi="宋体"/>
          <w:b w:val="0"/>
          <w:sz w:val="24"/>
          <w:lang w:eastAsia="zh-CN"/>
        </w:rPr>
        <w:t>生产厂商授权书</w:t>
      </w:r>
      <w:bookmarkEnd w:id="25"/>
    </w:p>
    <w:p>
      <w:pPr>
        <w:adjustRightInd w:val="0"/>
        <w:snapToGrid w:val="0"/>
        <w:spacing w:line="0" w:lineRule="atLeast"/>
        <w:jc w:val="center"/>
        <w:rPr>
          <w:rFonts w:hint="eastAsia" w:ascii="方正仿宋_GBK" w:hAnsi="Trebuchet MS" w:eastAsia="方正仿宋_GBK"/>
          <w:b/>
          <w:sz w:val="32"/>
        </w:rPr>
      </w:pPr>
      <w:r>
        <w:rPr>
          <w:rFonts w:hint="eastAsia" w:ascii="方正仿宋_GBK" w:hAnsi="Trebuchet MS" w:eastAsia="方正仿宋_GBK"/>
          <w:b/>
          <w:sz w:val="32"/>
        </w:rPr>
        <w:t>生产厂商授权书</w:t>
      </w:r>
    </w:p>
    <w:p>
      <w:pPr>
        <w:adjustRightInd w:val="0"/>
        <w:snapToGrid w:val="0"/>
        <w:spacing w:line="0" w:lineRule="atLeast"/>
        <w:rPr>
          <w:rFonts w:hint="eastAsia" w:ascii="方正仿宋_GBK" w:hAnsi="Trebuchet MS" w:eastAsia="方正仿宋_GBK"/>
          <w:b/>
          <w:sz w:val="28"/>
          <w:lang w:eastAsia="zh-CN"/>
        </w:rPr>
      </w:pPr>
      <w:r>
        <w:rPr>
          <w:rFonts w:hint="eastAsia" w:ascii="方正仿宋_GBK" w:hAnsi="Trebuchet MS" w:eastAsia="方正仿宋_GBK"/>
          <w:b/>
          <w:sz w:val="28"/>
        </w:rPr>
        <w:t>致：</w:t>
      </w:r>
      <w:r>
        <w:rPr>
          <w:rFonts w:hint="eastAsia" w:ascii="方正仿宋_GBK" w:hAnsi="Trebuchet MS" w:eastAsia="方正仿宋_GBK"/>
          <w:b/>
          <w:sz w:val="28"/>
          <w:lang w:eastAsia="zh-CN"/>
        </w:rPr>
        <w:t>浙江广厦建设职业技术大学</w:t>
      </w:r>
    </w:p>
    <w:p>
      <w:pPr>
        <w:adjustRightInd w:val="0"/>
        <w:snapToGrid w:val="0"/>
        <w:spacing w:line="0" w:lineRule="atLeast"/>
        <w:ind w:firstLine="560" w:firstLineChars="200"/>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u w:val="single"/>
        </w:rPr>
        <w:t xml:space="preserve">        </w:t>
      </w:r>
      <w:r>
        <w:rPr>
          <w:rFonts w:hint="eastAsia" w:asciiTheme="minorEastAsia" w:hAnsiTheme="minorEastAsia" w:eastAsiaTheme="minorEastAsia" w:cstheme="minorEastAsia"/>
          <w:sz w:val="28"/>
        </w:rPr>
        <w:t xml:space="preserve"> (生产厂家名称)是在</w:t>
      </w:r>
      <w:r>
        <w:rPr>
          <w:rFonts w:hint="eastAsia" w:asciiTheme="minorEastAsia" w:hAnsiTheme="minorEastAsia" w:eastAsiaTheme="minorEastAsia" w:cstheme="minorEastAsia"/>
          <w:sz w:val="28"/>
          <w:u w:val="single"/>
        </w:rPr>
        <w:t xml:space="preserve">      </w:t>
      </w:r>
      <w:r>
        <w:rPr>
          <w:rFonts w:hint="eastAsia" w:asciiTheme="minorEastAsia" w:hAnsiTheme="minorEastAsia" w:eastAsiaTheme="minorEastAsia" w:cstheme="minorEastAsia"/>
          <w:sz w:val="28"/>
        </w:rPr>
        <w:t>(国名)依法登记注册的，其厂址是在</w:t>
      </w:r>
      <w:r>
        <w:rPr>
          <w:rFonts w:hint="eastAsia" w:asciiTheme="minorEastAsia" w:hAnsiTheme="minorEastAsia" w:eastAsiaTheme="minorEastAsia" w:cstheme="minorEastAsia"/>
          <w:sz w:val="28"/>
          <w:u w:val="single"/>
        </w:rPr>
        <w:t xml:space="preserve">        </w:t>
      </w:r>
      <w:r>
        <w:rPr>
          <w:rFonts w:hint="eastAsia" w:asciiTheme="minorEastAsia" w:hAnsiTheme="minorEastAsia" w:eastAsiaTheme="minorEastAsia" w:cstheme="minorEastAsia"/>
          <w:sz w:val="28"/>
        </w:rPr>
        <w:t>。</w:t>
      </w:r>
    </w:p>
    <w:p>
      <w:pPr>
        <w:adjustRightInd w:val="0"/>
        <w:snapToGrid w:val="0"/>
        <w:spacing w:line="0" w:lineRule="atLeast"/>
        <w:ind w:firstLine="560" w:firstLineChars="200"/>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u w:val="single"/>
        </w:rPr>
        <w:t xml:space="preserve">          </w:t>
      </w:r>
      <w:r>
        <w:rPr>
          <w:rFonts w:hint="eastAsia" w:asciiTheme="minorEastAsia" w:hAnsiTheme="minorEastAsia" w:eastAsiaTheme="minorEastAsia" w:cstheme="minorEastAsia"/>
          <w:sz w:val="28"/>
        </w:rPr>
        <w:t>(被授权公司的名称)是在</w:t>
      </w:r>
      <w:r>
        <w:rPr>
          <w:rFonts w:hint="eastAsia" w:asciiTheme="minorEastAsia" w:hAnsiTheme="minorEastAsia" w:eastAsiaTheme="minorEastAsia" w:cstheme="minorEastAsia"/>
          <w:sz w:val="28"/>
          <w:u w:val="single"/>
        </w:rPr>
        <w:t xml:space="preserve">      </w:t>
      </w:r>
      <w:r>
        <w:rPr>
          <w:rFonts w:hint="eastAsia" w:asciiTheme="minorEastAsia" w:hAnsiTheme="minorEastAsia" w:eastAsiaTheme="minorEastAsia" w:cstheme="minorEastAsia"/>
          <w:sz w:val="28"/>
        </w:rPr>
        <w:t>(国名) 依法登记注册的，其主要营业地点在</w:t>
      </w:r>
      <w:r>
        <w:rPr>
          <w:rFonts w:hint="eastAsia" w:asciiTheme="minorEastAsia" w:hAnsiTheme="minorEastAsia" w:eastAsiaTheme="minorEastAsia" w:cstheme="minorEastAsia"/>
          <w:sz w:val="28"/>
          <w:u w:val="single"/>
        </w:rPr>
        <w:t xml:space="preserve">         </w:t>
      </w:r>
      <w:r>
        <w:rPr>
          <w:rFonts w:hint="eastAsia" w:asciiTheme="minorEastAsia" w:hAnsiTheme="minorEastAsia" w:eastAsiaTheme="minorEastAsia" w:cstheme="minorEastAsia"/>
          <w:sz w:val="28"/>
        </w:rPr>
        <w:t>。</w:t>
      </w:r>
    </w:p>
    <w:p>
      <w:pPr>
        <w:adjustRightInd w:val="0"/>
        <w:snapToGrid w:val="0"/>
        <w:spacing w:line="0" w:lineRule="atLeast"/>
        <w:ind w:firstLine="560" w:firstLineChars="200"/>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兹授予</w:t>
      </w:r>
      <w:r>
        <w:rPr>
          <w:rFonts w:hint="eastAsia" w:asciiTheme="minorEastAsia" w:hAnsiTheme="minorEastAsia" w:eastAsiaTheme="minorEastAsia" w:cstheme="minorEastAsia"/>
          <w:sz w:val="28"/>
          <w:u w:val="single"/>
        </w:rPr>
        <w:t xml:space="preserve">         </w:t>
      </w:r>
      <w:r>
        <w:rPr>
          <w:rFonts w:hint="eastAsia" w:asciiTheme="minorEastAsia" w:hAnsiTheme="minorEastAsia" w:eastAsiaTheme="minorEastAsia" w:cstheme="minorEastAsia"/>
          <w:sz w:val="28"/>
        </w:rPr>
        <w:t>（被授权公司的名称）代表我方提供 “</w:t>
      </w:r>
      <w:r>
        <w:rPr>
          <w:rFonts w:hint="eastAsia" w:asciiTheme="minorEastAsia" w:hAnsiTheme="minorEastAsia" w:eastAsiaTheme="minorEastAsia" w:cstheme="minorEastAsia"/>
          <w:sz w:val="28"/>
          <w:lang w:eastAsia="zh-CN"/>
        </w:rPr>
        <w:t>广厦大学</w:t>
      </w:r>
      <w:r>
        <w:rPr>
          <w:rFonts w:hint="eastAsia" w:asciiTheme="minorEastAsia" w:hAnsiTheme="minorEastAsia" w:eastAsiaTheme="minorEastAsia" w:cstheme="minorEastAsia"/>
          <w:sz w:val="28"/>
        </w:rPr>
        <w:t>无线耳机设备采购项目”磋商文件要求由我方生产的货物的合法代理人，全权处理与该货物有关的一切事宜。</w:t>
      </w:r>
    </w:p>
    <w:p>
      <w:pPr>
        <w:adjustRightInd w:val="0"/>
        <w:snapToGrid w:val="0"/>
        <w:spacing w:line="0" w:lineRule="atLeast"/>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被授权公司名称：</w:t>
      </w:r>
      <w:r>
        <w:rPr>
          <w:rFonts w:hint="eastAsia" w:asciiTheme="minorEastAsia" w:hAnsiTheme="minorEastAsia" w:eastAsiaTheme="minorEastAsia" w:cstheme="minorEastAsia"/>
          <w:sz w:val="28"/>
          <w:u w:val="single"/>
        </w:rPr>
        <w:t xml:space="preserve">          </w:t>
      </w:r>
      <w:r>
        <w:rPr>
          <w:rFonts w:hint="eastAsia" w:asciiTheme="minorEastAsia" w:hAnsiTheme="minorEastAsia" w:eastAsiaTheme="minorEastAsia" w:cstheme="minorEastAsia"/>
          <w:sz w:val="28"/>
        </w:rPr>
        <w:t>出具授权书生产厂家名称：</w:t>
      </w:r>
      <w:r>
        <w:rPr>
          <w:rFonts w:hint="eastAsia" w:asciiTheme="minorEastAsia" w:hAnsiTheme="minorEastAsia" w:eastAsiaTheme="minorEastAsia" w:cstheme="minorEastAsia"/>
          <w:sz w:val="28"/>
          <w:u w:val="single"/>
        </w:rPr>
        <w:t xml:space="preserve">           </w:t>
      </w:r>
    </w:p>
    <w:p>
      <w:pPr>
        <w:adjustRightInd w:val="0"/>
        <w:snapToGrid w:val="0"/>
        <w:spacing w:line="0" w:lineRule="atLeast"/>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 xml:space="preserve">         （公   章）               （公   章）</w:t>
      </w:r>
    </w:p>
    <w:p>
      <w:pPr>
        <w:adjustRightInd w:val="0"/>
        <w:snapToGrid w:val="0"/>
        <w:spacing w:line="0" w:lineRule="atLeast"/>
        <w:rPr>
          <w:rFonts w:hint="eastAsia" w:asciiTheme="minorEastAsia" w:hAnsiTheme="minorEastAsia" w:eastAsiaTheme="minorEastAsia" w:cstheme="minorEastAsia"/>
          <w:sz w:val="28"/>
          <w:u w:val="single"/>
        </w:rPr>
      </w:pPr>
      <w:r>
        <w:rPr>
          <w:rFonts w:hint="eastAsia" w:asciiTheme="minorEastAsia" w:hAnsiTheme="minorEastAsia" w:eastAsiaTheme="minorEastAsia" w:cstheme="minorEastAsia"/>
          <w:sz w:val="28"/>
        </w:rPr>
        <w:t>姓   名：</w:t>
      </w:r>
      <w:r>
        <w:rPr>
          <w:rFonts w:hint="eastAsia" w:asciiTheme="minorEastAsia" w:hAnsiTheme="minorEastAsia" w:eastAsiaTheme="minorEastAsia" w:cstheme="minorEastAsia"/>
          <w:sz w:val="28"/>
          <w:u w:val="single"/>
        </w:rPr>
        <w:t xml:space="preserve">                 </w:t>
      </w:r>
      <w:r>
        <w:rPr>
          <w:rFonts w:hint="eastAsia" w:asciiTheme="minorEastAsia" w:hAnsiTheme="minorEastAsia" w:eastAsiaTheme="minorEastAsia" w:cstheme="minorEastAsia"/>
          <w:sz w:val="28"/>
        </w:rPr>
        <w:t>姓   名：</w:t>
      </w:r>
      <w:r>
        <w:rPr>
          <w:rFonts w:hint="eastAsia" w:asciiTheme="minorEastAsia" w:hAnsiTheme="minorEastAsia" w:eastAsiaTheme="minorEastAsia" w:cstheme="minorEastAsia"/>
          <w:sz w:val="28"/>
          <w:u w:val="single"/>
        </w:rPr>
        <w:t xml:space="preserve">             </w:t>
      </w:r>
    </w:p>
    <w:p>
      <w:pPr>
        <w:adjustRightInd w:val="0"/>
        <w:snapToGrid w:val="0"/>
        <w:spacing w:line="0" w:lineRule="atLeast"/>
        <w:rPr>
          <w:rFonts w:hint="eastAsia" w:asciiTheme="minorEastAsia" w:hAnsiTheme="minorEastAsia" w:eastAsiaTheme="minorEastAsia" w:cstheme="minorEastAsia"/>
          <w:sz w:val="28"/>
          <w:u w:val="single"/>
        </w:rPr>
      </w:pPr>
      <w:r>
        <w:rPr>
          <w:rFonts w:hint="eastAsia" w:asciiTheme="minorEastAsia" w:hAnsiTheme="minorEastAsia" w:eastAsiaTheme="minorEastAsia" w:cstheme="minorEastAsia"/>
          <w:sz w:val="28"/>
        </w:rPr>
        <w:t>职   务：</w:t>
      </w:r>
      <w:r>
        <w:rPr>
          <w:rFonts w:hint="eastAsia" w:asciiTheme="minorEastAsia" w:hAnsiTheme="minorEastAsia" w:eastAsiaTheme="minorEastAsia" w:cstheme="minorEastAsia"/>
          <w:sz w:val="28"/>
          <w:u w:val="single"/>
        </w:rPr>
        <w:t xml:space="preserve">                 </w:t>
      </w:r>
      <w:r>
        <w:rPr>
          <w:rFonts w:hint="eastAsia" w:asciiTheme="minorEastAsia" w:hAnsiTheme="minorEastAsia" w:eastAsiaTheme="minorEastAsia" w:cstheme="minorEastAsia"/>
          <w:sz w:val="28"/>
        </w:rPr>
        <w:t>职   务：</w:t>
      </w:r>
      <w:r>
        <w:rPr>
          <w:rFonts w:hint="eastAsia" w:asciiTheme="minorEastAsia" w:hAnsiTheme="minorEastAsia" w:eastAsiaTheme="minorEastAsia" w:cstheme="minorEastAsia"/>
          <w:sz w:val="28"/>
          <w:u w:val="single"/>
        </w:rPr>
        <w:t xml:space="preserve">             </w:t>
      </w:r>
    </w:p>
    <w:p>
      <w:pPr>
        <w:adjustRightInd w:val="0"/>
        <w:snapToGrid w:val="0"/>
        <w:spacing w:line="0" w:lineRule="atLeast"/>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 xml:space="preserve">电   话： </w:t>
      </w:r>
      <w:r>
        <w:rPr>
          <w:rFonts w:hint="eastAsia" w:asciiTheme="minorEastAsia" w:hAnsiTheme="minorEastAsia" w:eastAsiaTheme="minorEastAsia" w:cstheme="minorEastAsia"/>
          <w:sz w:val="28"/>
          <w:u w:val="single"/>
        </w:rPr>
        <w:t xml:space="preserve">                </w:t>
      </w:r>
      <w:r>
        <w:rPr>
          <w:rFonts w:hint="eastAsia" w:asciiTheme="minorEastAsia" w:hAnsiTheme="minorEastAsia" w:eastAsiaTheme="minorEastAsia" w:cstheme="minorEastAsia"/>
          <w:sz w:val="28"/>
        </w:rPr>
        <w:t>电   话：</w:t>
      </w:r>
      <w:r>
        <w:rPr>
          <w:rFonts w:hint="eastAsia" w:asciiTheme="minorEastAsia" w:hAnsiTheme="minorEastAsia" w:eastAsiaTheme="minorEastAsia" w:cstheme="minorEastAsia"/>
          <w:sz w:val="28"/>
          <w:u w:val="single"/>
        </w:rPr>
        <w:t xml:space="preserve">              </w:t>
      </w:r>
      <w:r>
        <w:rPr>
          <w:rFonts w:hint="eastAsia" w:asciiTheme="minorEastAsia" w:hAnsiTheme="minorEastAsia" w:eastAsiaTheme="minorEastAsia" w:cstheme="minorEastAsia"/>
          <w:sz w:val="28"/>
        </w:rPr>
        <w:t xml:space="preserve">  </w:t>
      </w:r>
    </w:p>
    <w:p>
      <w:pPr>
        <w:adjustRightInd w:val="0"/>
        <w:snapToGrid w:val="0"/>
        <w:spacing w:line="0" w:lineRule="atLeast"/>
        <w:rPr>
          <w:rFonts w:hint="eastAsia" w:ascii="方正仿宋_GBK" w:hAnsi="Trebuchet MS" w:eastAsia="方正仿宋_GBK"/>
          <w:sz w:val="28"/>
          <w:u w:val="single"/>
        </w:rPr>
      </w:pPr>
      <w:r>
        <w:rPr>
          <w:rFonts w:hint="eastAsia" w:asciiTheme="minorEastAsia" w:hAnsiTheme="minorEastAsia" w:eastAsiaTheme="minorEastAsia" w:cstheme="minorEastAsia"/>
          <w:sz w:val="28"/>
        </w:rPr>
        <w:t xml:space="preserve">                                日   期：</w:t>
      </w:r>
      <w:r>
        <w:rPr>
          <w:rFonts w:hint="eastAsia" w:asciiTheme="minorEastAsia" w:hAnsiTheme="minorEastAsia" w:eastAsiaTheme="minorEastAsia" w:cstheme="minorEastAsia"/>
          <w:sz w:val="28"/>
          <w:u w:val="single"/>
        </w:rPr>
        <w:t xml:space="preserve">   </w:t>
      </w:r>
      <w:r>
        <w:rPr>
          <w:rFonts w:hint="eastAsia" w:ascii="方正仿宋_GBK" w:hAnsi="Trebuchet MS" w:eastAsia="方正仿宋_GBK"/>
          <w:sz w:val="28"/>
          <w:u w:val="single"/>
        </w:rPr>
        <w:t xml:space="preserve">          </w:t>
      </w:r>
    </w:p>
    <w:p>
      <w:pPr>
        <w:adjustRightInd w:val="0"/>
        <w:snapToGrid w:val="0"/>
        <w:spacing w:line="0" w:lineRule="atLeast"/>
        <w:rPr>
          <w:rFonts w:hint="eastAsia" w:ascii="方正仿宋_GBK" w:hAnsi="Trebuchet MS" w:eastAsia="方正仿宋_GBK"/>
          <w:sz w:val="28"/>
        </w:rPr>
      </w:pPr>
    </w:p>
    <w:p>
      <w:pPr>
        <w:pStyle w:val="20"/>
        <w:ind w:left="0" w:leftChars="0" w:firstLine="0" w:firstLineChars="0"/>
        <w:rPr>
          <w:sz w:val="24"/>
          <w:highlight w:val="green"/>
        </w:rPr>
      </w:pPr>
    </w:p>
    <w:p>
      <w:pPr>
        <w:pStyle w:val="20"/>
        <w:ind w:left="0" w:leftChars="0" w:firstLine="0" w:firstLineChars="0"/>
        <w:rPr>
          <w:sz w:val="24"/>
          <w:highlight w:val="green"/>
        </w:rPr>
      </w:pPr>
    </w:p>
    <w:p>
      <w:pPr>
        <w:pStyle w:val="20"/>
        <w:ind w:left="0" w:leftChars="0" w:firstLine="0" w:firstLineChars="0"/>
        <w:rPr>
          <w:sz w:val="24"/>
          <w:highlight w:val="green"/>
        </w:rPr>
      </w:pPr>
    </w:p>
    <w:p>
      <w:pPr>
        <w:pStyle w:val="20"/>
        <w:ind w:left="0" w:leftChars="0" w:firstLine="0" w:firstLineChars="0"/>
        <w:rPr>
          <w:sz w:val="24"/>
          <w:highlight w:val="green"/>
        </w:rPr>
      </w:pPr>
    </w:p>
    <w:p>
      <w:pPr>
        <w:pStyle w:val="20"/>
        <w:ind w:left="0" w:leftChars="0" w:firstLine="0" w:firstLineChars="0"/>
        <w:rPr>
          <w:sz w:val="24"/>
          <w:highlight w:val="green"/>
        </w:rPr>
      </w:pPr>
    </w:p>
    <w:p>
      <w:pPr>
        <w:pStyle w:val="6"/>
        <w:keepNext w:val="0"/>
        <w:keepLines w:val="0"/>
        <w:spacing w:line="412" w:lineRule="auto"/>
        <w:rPr>
          <w:rFonts w:ascii="宋体" w:hAnsi="宋体" w:cs="宋体"/>
          <w:b w:val="0"/>
          <w:sz w:val="24"/>
        </w:rPr>
      </w:pPr>
      <w:bookmarkStart w:id="26" w:name="_Toc23527"/>
      <w:bookmarkStart w:id="27" w:name="_Toc18243"/>
      <w:r>
        <w:rPr>
          <w:rFonts w:ascii="宋体" w:hAnsi="宋体" w:cs="宋体"/>
          <w:b w:val="0"/>
          <w:sz w:val="24"/>
        </w:rPr>
        <w:t>附件</w:t>
      </w:r>
      <w:r>
        <w:rPr>
          <w:rFonts w:hint="eastAsia" w:ascii="宋体" w:hAnsi="宋体" w:cs="宋体"/>
          <w:b w:val="0"/>
          <w:sz w:val="24"/>
          <w:lang w:eastAsia="zh-CN"/>
        </w:rPr>
        <w:t>八</w:t>
      </w:r>
      <w:r>
        <w:rPr>
          <w:rFonts w:ascii="宋体" w:hAnsi="宋体" w:cs="宋体"/>
          <w:b w:val="0"/>
          <w:sz w:val="24"/>
        </w:rPr>
        <w:t>：同类项目业绩证明</w:t>
      </w:r>
      <w:bookmarkEnd w:id="26"/>
      <w:bookmarkEnd w:id="27"/>
    </w:p>
    <w:p>
      <w:pPr>
        <w:jc w:val="center"/>
        <w:rPr>
          <w:rFonts w:ascii="宋体" w:hAnsi="宋体" w:cs="宋体"/>
          <w:b/>
          <w:sz w:val="36"/>
          <w:szCs w:val="36"/>
        </w:rPr>
      </w:pPr>
      <w:r>
        <w:rPr>
          <w:rFonts w:ascii="宋体" w:hAnsi="宋体" w:cs="宋体"/>
          <w:b/>
          <w:sz w:val="36"/>
          <w:szCs w:val="36"/>
        </w:rPr>
        <w:t>同类项目业绩证明</w:t>
      </w:r>
    </w:p>
    <w:p>
      <w:pPr>
        <w:rPr>
          <w:rFonts w:ascii="宋体" w:hAnsi="宋体" w:cs="宋体"/>
          <w:b/>
          <w:sz w:val="24"/>
          <w:szCs w:val="36"/>
        </w:rPr>
      </w:pPr>
    </w:p>
    <w:p>
      <w:pPr>
        <w:rPr>
          <w:rFonts w:ascii="宋体" w:hAnsi="宋体" w:cs="宋体"/>
          <w:sz w:val="24"/>
        </w:rPr>
      </w:pPr>
    </w:p>
    <w:tbl>
      <w:tblPr>
        <w:tblStyle w:val="21"/>
        <w:tblW w:w="9508" w:type="dxa"/>
        <w:tblInd w:w="108" w:type="dxa"/>
        <w:tblLayout w:type="fixed"/>
        <w:tblCellMar>
          <w:top w:w="0" w:type="dxa"/>
          <w:left w:w="108" w:type="dxa"/>
          <w:bottom w:w="0" w:type="dxa"/>
          <w:right w:w="108" w:type="dxa"/>
        </w:tblCellMar>
      </w:tblPr>
      <w:tblGrid>
        <w:gridCol w:w="1657"/>
        <w:gridCol w:w="1446"/>
        <w:gridCol w:w="1717"/>
        <w:gridCol w:w="833"/>
        <w:gridCol w:w="975"/>
        <w:gridCol w:w="840"/>
        <w:gridCol w:w="2040"/>
      </w:tblGrid>
      <w:tr>
        <w:trPr>
          <w:trHeight w:val="500" w:hRule="atLeast"/>
        </w:trPr>
        <w:tc>
          <w:tcPr>
            <w:tcW w:w="1657"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r>
              <w:rPr>
                <w:rFonts w:ascii="宋体" w:hAnsi="宋体" w:cs="宋体"/>
                <w:sz w:val="24"/>
              </w:rPr>
              <w:t>采购单位名称</w:t>
            </w:r>
          </w:p>
        </w:tc>
        <w:tc>
          <w:tcPr>
            <w:tcW w:w="1446"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r>
              <w:rPr>
                <w:rFonts w:ascii="宋体" w:hAnsi="宋体" w:cs="宋体"/>
                <w:sz w:val="24"/>
              </w:rPr>
              <w:t>项目名称</w:t>
            </w:r>
          </w:p>
        </w:tc>
        <w:tc>
          <w:tcPr>
            <w:tcW w:w="1717"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r>
              <w:rPr>
                <w:rFonts w:ascii="宋体" w:hAnsi="宋体" w:cs="宋体"/>
                <w:sz w:val="24"/>
              </w:rPr>
              <w:t>合同</w:t>
            </w:r>
          </w:p>
          <w:p>
            <w:pPr>
              <w:jc w:val="center"/>
              <w:rPr>
                <w:rFonts w:ascii="宋体" w:hAnsi="宋体" w:cs="宋体"/>
                <w:sz w:val="24"/>
              </w:rPr>
            </w:pPr>
            <w:r>
              <w:rPr>
                <w:rFonts w:ascii="宋体" w:hAnsi="宋体" w:cs="宋体"/>
                <w:sz w:val="24"/>
              </w:rPr>
              <w:t>金额</w:t>
            </w:r>
          </w:p>
          <w:p>
            <w:pPr>
              <w:jc w:val="center"/>
              <w:rPr>
                <w:rFonts w:ascii="宋体" w:hAnsi="宋体" w:cs="宋体"/>
                <w:sz w:val="24"/>
              </w:rPr>
            </w:pPr>
            <w:r>
              <w:rPr>
                <w:rFonts w:ascii="宋体" w:hAnsi="宋体" w:cs="宋体"/>
                <w:sz w:val="24"/>
              </w:rPr>
              <w:t>（万元）</w:t>
            </w:r>
          </w:p>
        </w:tc>
        <w:tc>
          <w:tcPr>
            <w:tcW w:w="2648"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r>
              <w:rPr>
                <w:rFonts w:ascii="宋体" w:hAnsi="宋体" w:cs="宋体"/>
                <w:sz w:val="24"/>
              </w:rPr>
              <w:t>附件页码</w:t>
            </w:r>
          </w:p>
        </w:tc>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r>
              <w:rPr>
                <w:rFonts w:ascii="宋体" w:hAnsi="宋体" w:cs="宋体"/>
                <w:sz w:val="24"/>
              </w:rPr>
              <w:t>采购单位联系人</w:t>
            </w:r>
          </w:p>
          <w:p>
            <w:pPr>
              <w:jc w:val="center"/>
              <w:rPr>
                <w:rFonts w:ascii="宋体" w:hAnsi="宋体" w:cs="宋体"/>
                <w:sz w:val="24"/>
              </w:rPr>
            </w:pPr>
            <w:r>
              <w:rPr>
                <w:rFonts w:ascii="宋体" w:hAnsi="宋体" w:cs="宋体"/>
                <w:sz w:val="24"/>
              </w:rPr>
              <w:t>及联系电话</w:t>
            </w:r>
          </w:p>
        </w:tc>
      </w:tr>
      <w:tr>
        <w:tblPrEx>
          <w:tblCellMar>
            <w:top w:w="0" w:type="dxa"/>
            <w:left w:w="108" w:type="dxa"/>
            <w:bottom w:w="0" w:type="dxa"/>
            <w:right w:w="108" w:type="dxa"/>
          </w:tblCellMar>
        </w:tblPrEx>
        <w:trPr>
          <w:trHeight w:val="77" w:hRule="atLeast"/>
        </w:trPr>
        <w:tc>
          <w:tcPr>
            <w:tcW w:w="1657"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sz w:val="24"/>
              </w:rPr>
            </w:pPr>
          </w:p>
        </w:tc>
        <w:tc>
          <w:tcPr>
            <w:tcW w:w="1446"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sz w:val="24"/>
              </w:rPr>
            </w:pPr>
          </w:p>
        </w:tc>
        <w:tc>
          <w:tcPr>
            <w:tcW w:w="1717"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sz w:val="24"/>
              </w:rPr>
            </w:pPr>
          </w:p>
        </w:tc>
        <w:tc>
          <w:tcPr>
            <w:tcW w:w="83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rPr>
            </w:pPr>
            <w:r>
              <w:rPr>
                <w:rFonts w:ascii="宋体" w:hAnsi="宋体" w:cs="宋体"/>
                <w:sz w:val="24"/>
              </w:rPr>
              <w:t>合同</w:t>
            </w:r>
          </w:p>
        </w:tc>
        <w:tc>
          <w:tcPr>
            <w:tcW w:w="97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rPr>
            </w:pPr>
            <w:r>
              <w:rPr>
                <w:rFonts w:ascii="宋体" w:hAnsi="宋体" w:cs="宋体"/>
                <w:sz w:val="24"/>
              </w:rPr>
              <w:t>中标通知书</w:t>
            </w:r>
          </w:p>
        </w:tc>
        <w:tc>
          <w:tcPr>
            <w:tcW w:w="84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rPr>
            </w:pPr>
            <w:r>
              <w:rPr>
                <w:rFonts w:ascii="宋体" w:hAnsi="宋体" w:cs="宋体"/>
                <w:sz w:val="24"/>
              </w:rPr>
              <w:t>用户</w:t>
            </w:r>
          </w:p>
          <w:p>
            <w:pPr>
              <w:rPr>
                <w:rFonts w:ascii="宋体" w:hAnsi="宋体" w:cs="宋体"/>
                <w:sz w:val="24"/>
              </w:rPr>
            </w:pPr>
            <w:r>
              <w:rPr>
                <w:rFonts w:ascii="宋体" w:hAnsi="宋体" w:cs="宋体"/>
                <w:sz w:val="24"/>
              </w:rPr>
              <w:t>评价</w:t>
            </w:r>
          </w:p>
        </w:tc>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sz w:val="24"/>
              </w:rPr>
            </w:pPr>
          </w:p>
        </w:tc>
      </w:tr>
      <w:tr>
        <w:tblPrEx>
          <w:tblCellMar>
            <w:top w:w="0" w:type="dxa"/>
            <w:left w:w="108" w:type="dxa"/>
            <w:bottom w:w="0" w:type="dxa"/>
            <w:right w:w="108" w:type="dxa"/>
          </w:tblCellMar>
        </w:tblPrEx>
        <w:tc>
          <w:tcPr>
            <w:tcW w:w="1657"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sz w:val="28"/>
                <w:szCs w:val="28"/>
              </w:rPr>
            </w:pPr>
          </w:p>
        </w:tc>
        <w:tc>
          <w:tcPr>
            <w:tcW w:w="1446"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sz w:val="28"/>
                <w:szCs w:val="28"/>
              </w:rPr>
            </w:pPr>
          </w:p>
        </w:tc>
        <w:tc>
          <w:tcPr>
            <w:tcW w:w="1717"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sz w:val="28"/>
                <w:szCs w:val="28"/>
              </w:rPr>
            </w:pPr>
          </w:p>
        </w:tc>
        <w:tc>
          <w:tcPr>
            <w:tcW w:w="833"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sz w:val="28"/>
                <w:szCs w:val="28"/>
              </w:rPr>
            </w:pPr>
          </w:p>
        </w:tc>
        <w:tc>
          <w:tcPr>
            <w:tcW w:w="975"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sz w:val="28"/>
                <w:szCs w:val="28"/>
              </w:rPr>
            </w:pPr>
          </w:p>
        </w:tc>
        <w:tc>
          <w:tcPr>
            <w:tcW w:w="840"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sz w:val="28"/>
                <w:szCs w:val="28"/>
              </w:rPr>
            </w:pPr>
          </w:p>
        </w:tc>
        <w:tc>
          <w:tcPr>
            <w:tcW w:w="2040"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sz w:val="28"/>
                <w:szCs w:val="28"/>
              </w:rPr>
            </w:pPr>
          </w:p>
        </w:tc>
      </w:tr>
      <w:tr>
        <w:tblPrEx>
          <w:tblCellMar>
            <w:top w:w="0" w:type="dxa"/>
            <w:left w:w="108" w:type="dxa"/>
            <w:bottom w:w="0" w:type="dxa"/>
            <w:right w:w="108" w:type="dxa"/>
          </w:tblCellMar>
        </w:tblPrEx>
        <w:tc>
          <w:tcPr>
            <w:tcW w:w="1657"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sz w:val="28"/>
                <w:szCs w:val="28"/>
              </w:rPr>
            </w:pPr>
          </w:p>
        </w:tc>
        <w:tc>
          <w:tcPr>
            <w:tcW w:w="1446"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sz w:val="28"/>
                <w:szCs w:val="28"/>
              </w:rPr>
            </w:pPr>
          </w:p>
        </w:tc>
        <w:tc>
          <w:tcPr>
            <w:tcW w:w="1717"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sz w:val="28"/>
                <w:szCs w:val="28"/>
              </w:rPr>
            </w:pPr>
          </w:p>
        </w:tc>
        <w:tc>
          <w:tcPr>
            <w:tcW w:w="833"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sz w:val="28"/>
                <w:szCs w:val="28"/>
              </w:rPr>
            </w:pPr>
          </w:p>
        </w:tc>
        <w:tc>
          <w:tcPr>
            <w:tcW w:w="975"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sz w:val="28"/>
                <w:szCs w:val="28"/>
              </w:rPr>
            </w:pPr>
          </w:p>
        </w:tc>
        <w:tc>
          <w:tcPr>
            <w:tcW w:w="840"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sz w:val="28"/>
                <w:szCs w:val="28"/>
              </w:rPr>
            </w:pPr>
          </w:p>
        </w:tc>
        <w:tc>
          <w:tcPr>
            <w:tcW w:w="2040"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sz w:val="28"/>
                <w:szCs w:val="28"/>
              </w:rPr>
            </w:pPr>
          </w:p>
        </w:tc>
      </w:tr>
      <w:tr>
        <w:tblPrEx>
          <w:tblCellMar>
            <w:top w:w="0" w:type="dxa"/>
            <w:left w:w="108" w:type="dxa"/>
            <w:bottom w:w="0" w:type="dxa"/>
            <w:right w:w="108" w:type="dxa"/>
          </w:tblCellMar>
        </w:tblPrEx>
        <w:tc>
          <w:tcPr>
            <w:tcW w:w="1657"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sz w:val="28"/>
                <w:szCs w:val="28"/>
              </w:rPr>
            </w:pPr>
          </w:p>
        </w:tc>
        <w:tc>
          <w:tcPr>
            <w:tcW w:w="1446"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sz w:val="28"/>
                <w:szCs w:val="28"/>
              </w:rPr>
            </w:pPr>
          </w:p>
        </w:tc>
        <w:tc>
          <w:tcPr>
            <w:tcW w:w="1717"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sz w:val="28"/>
                <w:szCs w:val="28"/>
              </w:rPr>
            </w:pPr>
          </w:p>
        </w:tc>
        <w:tc>
          <w:tcPr>
            <w:tcW w:w="833"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sz w:val="28"/>
                <w:szCs w:val="28"/>
              </w:rPr>
            </w:pPr>
          </w:p>
        </w:tc>
        <w:tc>
          <w:tcPr>
            <w:tcW w:w="975"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sz w:val="28"/>
                <w:szCs w:val="28"/>
              </w:rPr>
            </w:pPr>
          </w:p>
        </w:tc>
        <w:tc>
          <w:tcPr>
            <w:tcW w:w="840"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sz w:val="28"/>
                <w:szCs w:val="28"/>
              </w:rPr>
            </w:pPr>
          </w:p>
        </w:tc>
        <w:tc>
          <w:tcPr>
            <w:tcW w:w="2040"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sz w:val="28"/>
                <w:szCs w:val="28"/>
              </w:rPr>
            </w:pPr>
          </w:p>
        </w:tc>
      </w:tr>
      <w:tr>
        <w:tblPrEx>
          <w:tblCellMar>
            <w:top w:w="0" w:type="dxa"/>
            <w:left w:w="108" w:type="dxa"/>
            <w:bottom w:w="0" w:type="dxa"/>
            <w:right w:w="108" w:type="dxa"/>
          </w:tblCellMar>
        </w:tblPrEx>
        <w:tc>
          <w:tcPr>
            <w:tcW w:w="1657"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sz w:val="28"/>
                <w:szCs w:val="28"/>
              </w:rPr>
            </w:pPr>
          </w:p>
        </w:tc>
        <w:tc>
          <w:tcPr>
            <w:tcW w:w="1446"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sz w:val="28"/>
                <w:szCs w:val="28"/>
              </w:rPr>
            </w:pPr>
          </w:p>
        </w:tc>
        <w:tc>
          <w:tcPr>
            <w:tcW w:w="1717"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sz w:val="28"/>
                <w:szCs w:val="28"/>
              </w:rPr>
            </w:pPr>
          </w:p>
        </w:tc>
        <w:tc>
          <w:tcPr>
            <w:tcW w:w="833"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sz w:val="28"/>
                <w:szCs w:val="28"/>
              </w:rPr>
            </w:pPr>
          </w:p>
        </w:tc>
        <w:tc>
          <w:tcPr>
            <w:tcW w:w="975"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sz w:val="28"/>
                <w:szCs w:val="28"/>
              </w:rPr>
            </w:pPr>
          </w:p>
        </w:tc>
        <w:tc>
          <w:tcPr>
            <w:tcW w:w="840"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sz w:val="28"/>
                <w:szCs w:val="28"/>
              </w:rPr>
            </w:pPr>
          </w:p>
        </w:tc>
        <w:tc>
          <w:tcPr>
            <w:tcW w:w="2040"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sz w:val="28"/>
                <w:szCs w:val="28"/>
              </w:rPr>
            </w:pPr>
          </w:p>
        </w:tc>
      </w:tr>
      <w:tr>
        <w:tblPrEx>
          <w:tblCellMar>
            <w:top w:w="0" w:type="dxa"/>
            <w:left w:w="108" w:type="dxa"/>
            <w:bottom w:w="0" w:type="dxa"/>
            <w:right w:w="108" w:type="dxa"/>
          </w:tblCellMar>
        </w:tblPrEx>
        <w:tc>
          <w:tcPr>
            <w:tcW w:w="1657"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sz w:val="28"/>
                <w:szCs w:val="28"/>
              </w:rPr>
            </w:pPr>
          </w:p>
        </w:tc>
        <w:tc>
          <w:tcPr>
            <w:tcW w:w="1446"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sz w:val="28"/>
                <w:szCs w:val="28"/>
              </w:rPr>
            </w:pPr>
          </w:p>
        </w:tc>
        <w:tc>
          <w:tcPr>
            <w:tcW w:w="1717"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sz w:val="28"/>
                <w:szCs w:val="28"/>
              </w:rPr>
            </w:pPr>
          </w:p>
        </w:tc>
        <w:tc>
          <w:tcPr>
            <w:tcW w:w="833"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sz w:val="28"/>
                <w:szCs w:val="28"/>
              </w:rPr>
            </w:pPr>
          </w:p>
        </w:tc>
        <w:tc>
          <w:tcPr>
            <w:tcW w:w="975"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sz w:val="28"/>
                <w:szCs w:val="28"/>
              </w:rPr>
            </w:pPr>
          </w:p>
        </w:tc>
        <w:tc>
          <w:tcPr>
            <w:tcW w:w="840"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sz w:val="28"/>
                <w:szCs w:val="28"/>
              </w:rPr>
            </w:pPr>
          </w:p>
        </w:tc>
        <w:tc>
          <w:tcPr>
            <w:tcW w:w="2040"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sz w:val="28"/>
                <w:szCs w:val="28"/>
              </w:rPr>
            </w:pPr>
          </w:p>
        </w:tc>
      </w:tr>
      <w:tr>
        <w:tblPrEx>
          <w:tblCellMar>
            <w:top w:w="0" w:type="dxa"/>
            <w:left w:w="108" w:type="dxa"/>
            <w:bottom w:w="0" w:type="dxa"/>
            <w:right w:w="108" w:type="dxa"/>
          </w:tblCellMar>
        </w:tblPrEx>
        <w:tc>
          <w:tcPr>
            <w:tcW w:w="1657"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sz w:val="28"/>
                <w:szCs w:val="28"/>
              </w:rPr>
            </w:pPr>
          </w:p>
        </w:tc>
        <w:tc>
          <w:tcPr>
            <w:tcW w:w="1446"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sz w:val="28"/>
                <w:szCs w:val="28"/>
              </w:rPr>
            </w:pPr>
          </w:p>
        </w:tc>
        <w:tc>
          <w:tcPr>
            <w:tcW w:w="1717"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sz w:val="28"/>
                <w:szCs w:val="28"/>
              </w:rPr>
            </w:pPr>
          </w:p>
        </w:tc>
        <w:tc>
          <w:tcPr>
            <w:tcW w:w="833"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sz w:val="28"/>
                <w:szCs w:val="28"/>
              </w:rPr>
            </w:pPr>
          </w:p>
        </w:tc>
        <w:tc>
          <w:tcPr>
            <w:tcW w:w="975"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sz w:val="28"/>
                <w:szCs w:val="28"/>
              </w:rPr>
            </w:pPr>
          </w:p>
        </w:tc>
        <w:tc>
          <w:tcPr>
            <w:tcW w:w="840"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sz w:val="28"/>
                <w:szCs w:val="28"/>
              </w:rPr>
            </w:pPr>
          </w:p>
        </w:tc>
        <w:tc>
          <w:tcPr>
            <w:tcW w:w="2040"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sz w:val="28"/>
                <w:szCs w:val="28"/>
              </w:rPr>
            </w:pPr>
          </w:p>
        </w:tc>
      </w:tr>
      <w:tr>
        <w:tblPrEx>
          <w:tblCellMar>
            <w:top w:w="0" w:type="dxa"/>
            <w:left w:w="108" w:type="dxa"/>
            <w:bottom w:w="0" w:type="dxa"/>
            <w:right w:w="108" w:type="dxa"/>
          </w:tblCellMar>
        </w:tblPrEx>
        <w:tc>
          <w:tcPr>
            <w:tcW w:w="1657"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sz w:val="28"/>
                <w:szCs w:val="28"/>
              </w:rPr>
            </w:pPr>
          </w:p>
        </w:tc>
        <w:tc>
          <w:tcPr>
            <w:tcW w:w="1446"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sz w:val="28"/>
                <w:szCs w:val="28"/>
              </w:rPr>
            </w:pPr>
          </w:p>
        </w:tc>
        <w:tc>
          <w:tcPr>
            <w:tcW w:w="1717"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sz w:val="28"/>
                <w:szCs w:val="28"/>
              </w:rPr>
            </w:pPr>
          </w:p>
        </w:tc>
        <w:tc>
          <w:tcPr>
            <w:tcW w:w="833"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sz w:val="28"/>
                <w:szCs w:val="28"/>
              </w:rPr>
            </w:pPr>
          </w:p>
        </w:tc>
        <w:tc>
          <w:tcPr>
            <w:tcW w:w="975"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sz w:val="28"/>
                <w:szCs w:val="28"/>
              </w:rPr>
            </w:pPr>
          </w:p>
        </w:tc>
        <w:tc>
          <w:tcPr>
            <w:tcW w:w="840"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sz w:val="28"/>
                <w:szCs w:val="28"/>
              </w:rPr>
            </w:pPr>
          </w:p>
        </w:tc>
        <w:tc>
          <w:tcPr>
            <w:tcW w:w="2040"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sz w:val="28"/>
                <w:szCs w:val="28"/>
              </w:rPr>
            </w:pPr>
          </w:p>
        </w:tc>
      </w:tr>
      <w:tr>
        <w:tblPrEx>
          <w:tblCellMar>
            <w:top w:w="0" w:type="dxa"/>
            <w:left w:w="108" w:type="dxa"/>
            <w:bottom w:w="0" w:type="dxa"/>
            <w:right w:w="108" w:type="dxa"/>
          </w:tblCellMar>
        </w:tblPrEx>
        <w:tc>
          <w:tcPr>
            <w:tcW w:w="1657"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sz w:val="28"/>
                <w:szCs w:val="28"/>
              </w:rPr>
            </w:pPr>
          </w:p>
        </w:tc>
        <w:tc>
          <w:tcPr>
            <w:tcW w:w="1446"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sz w:val="28"/>
                <w:szCs w:val="28"/>
              </w:rPr>
            </w:pPr>
          </w:p>
        </w:tc>
        <w:tc>
          <w:tcPr>
            <w:tcW w:w="1717"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sz w:val="28"/>
                <w:szCs w:val="28"/>
              </w:rPr>
            </w:pPr>
          </w:p>
        </w:tc>
        <w:tc>
          <w:tcPr>
            <w:tcW w:w="833"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sz w:val="28"/>
                <w:szCs w:val="28"/>
              </w:rPr>
            </w:pPr>
          </w:p>
        </w:tc>
        <w:tc>
          <w:tcPr>
            <w:tcW w:w="975"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sz w:val="28"/>
                <w:szCs w:val="28"/>
              </w:rPr>
            </w:pPr>
          </w:p>
        </w:tc>
        <w:tc>
          <w:tcPr>
            <w:tcW w:w="840"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sz w:val="28"/>
                <w:szCs w:val="28"/>
              </w:rPr>
            </w:pPr>
          </w:p>
        </w:tc>
        <w:tc>
          <w:tcPr>
            <w:tcW w:w="2040"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sz w:val="28"/>
                <w:szCs w:val="28"/>
              </w:rPr>
            </w:pPr>
          </w:p>
        </w:tc>
      </w:tr>
      <w:tr>
        <w:tblPrEx>
          <w:tblCellMar>
            <w:top w:w="0" w:type="dxa"/>
            <w:left w:w="108" w:type="dxa"/>
            <w:bottom w:w="0" w:type="dxa"/>
            <w:right w:w="108" w:type="dxa"/>
          </w:tblCellMar>
        </w:tblPrEx>
        <w:tc>
          <w:tcPr>
            <w:tcW w:w="1657"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sz w:val="28"/>
                <w:szCs w:val="28"/>
              </w:rPr>
            </w:pPr>
          </w:p>
        </w:tc>
        <w:tc>
          <w:tcPr>
            <w:tcW w:w="1446"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sz w:val="28"/>
                <w:szCs w:val="28"/>
              </w:rPr>
            </w:pPr>
          </w:p>
        </w:tc>
        <w:tc>
          <w:tcPr>
            <w:tcW w:w="1717"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sz w:val="28"/>
                <w:szCs w:val="28"/>
              </w:rPr>
            </w:pPr>
          </w:p>
        </w:tc>
        <w:tc>
          <w:tcPr>
            <w:tcW w:w="833"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sz w:val="28"/>
                <w:szCs w:val="28"/>
              </w:rPr>
            </w:pPr>
          </w:p>
        </w:tc>
        <w:tc>
          <w:tcPr>
            <w:tcW w:w="975"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sz w:val="28"/>
                <w:szCs w:val="28"/>
              </w:rPr>
            </w:pPr>
          </w:p>
        </w:tc>
        <w:tc>
          <w:tcPr>
            <w:tcW w:w="840"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sz w:val="28"/>
                <w:szCs w:val="28"/>
              </w:rPr>
            </w:pPr>
          </w:p>
        </w:tc>
        <w:tc>
          <w:tcPr>
            <w:tcW w:w="2040"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sz w:val="28"/>
                <w:szCs w:val="28"/>
              </w:rPr>
            </w:pPr>
          </w:p>
        </w:tc>
      </w:tr>
    </w:tbl>
    <w:p>
      <w:pPr>
        <w:rPr>
          <w:rFonts w:ascii="宋体" w:hAnsi="宋体" w:cs="宋体"/>
          <w:sz w:val="28"/>
          <w:szCs w:val="28"/>
        </w:rPr>
      </w:pPr>
      <w:r>
        <w:rPr>
          <w:rFonts w:ascii="宋体" w:hAnsi="宋体" w:cs="宋体"/>
          <w:sz w:val="24"/>
        </w:rPr>
        <w:t>注：后附相关证明材料</w:t>
      </w:r>
    </w:p>
    <w:p>
      <w:pPr>
        <w:rPr>
          <w:rFonts w:ascii="宋体" w:hAnsi="宋体" w:cs="宋体"/>
          <w:sz w:val="28"/>
          <w:szCs w:val="28"/>
        </w:rPr>
      </w:pPr>
    </w:p>
    <w:p>
      <w:pPr>
        <w:rPr>
          <w:rFonts w:ascii="宋体" w:hAnsi="宋体" w:cs="宋体"/>
          <w:sz w:val="28"/>
          <w:szCs w:val="28"/>
        </w:rPr>
      </w:pPr>
    </w:p>
    <w:p>
      <w:pPr>
        <w:spacing w:line="360" w:lineRule="auto"/>
        <w:rPr>
          <w:rFonts w:ascii="宋体" w:hAnsi="宋体" w:cs="宋体"/>
          <w:sz w:val="24"/>
          <w:u w:val="single"/>
        </w:rPr>
      </w:pPr>
      <w:r>
        <w:rPr>
          <w:rFonts w:ascii="宋体" w:hAnsi="宋体" w:cs="宋体"/>
          <w:sz w:val="24"/>
        </w:rPr>
        <w:t>法定代表人或负责人或委托代理人签名：</w:t>
      </w:r>
      <w:r>
        <w:rPr>
          <w:rFonts w:ascii="宋体" w:hAnsi="宋体" w:cs="宋体"/>
          <w:sz w:val="24"/>
          <w:u w:val="single"/>
        </w:rPr>
        <w:t xml:space="preserve">                    </w:t>
      </w:r>
    </w:p>
    <w:p>
      <w:pPr>
        <w:spacing w:line="360" w:lineRule="auto"/>
        <w:rPr>
          <w:rFonts w:ascii="宋体" w:hAnsi="宋体" w:cs="宋体"/>
          <w:sz w:val="24"/>
          <w:u w:val="single"/>
        </w:rPr>
      </w:pPr>
      <w:r>
        <w:rPr>
          <w:rFonts w:ascii="宋体" w:hAnsi="宋体" w:cs="宋体"/>
          <w:sz w:val="24"/>
        </w:rPr>
        <w:t>投标人公章：</w:t>
      </w:r>
      <w:r>
        <w:rPr>
          <w:rFonts w:ascii="宋体" w:hAnsi="宋体" w:cs="宋体"/>
          <w:sz w:val="24"/>
          <w:u w:val="single"/>
        </w:rPr>
        <w:t xml:space="preserve">                      </w:t>
      </w:r>
    </w:p>
    <w:p>
      <w:pPr>
        <w:pStyle w:val="20"/>
        <w:ind w:left="0" w:leftChars="0" w:firstLine="0" w:firstLineChars="0"/>
        <w:rPr>
          <w:sz w:val="24"/>
          <w:highlight w:val="green"/>
        </w:rPr>
      </w:pPr>
    </w:p>
    <w:sectPr>
      <w:headerReference r:id="rId3" w:type="default"/>
      <w:footerReference r:id="rId4" w:type="default"/>
      <w:pgSz w:w="11906" w:h="16838"/>
      <w:pgMar w:top="873" w:right="1418" w:bottom="420" w:left="1418" w:header="851" w:footer="992" w:gutter="0"/>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onsolas">
    <w:panose1 w:val="020B0609020204030204"/>
    <w:charset w:val="00"/>
    <w:family w:val="modern"/>
    <w:pitch w:val="default"/>
    <w:sig w:usb0="E10002FF" w:usb1="4000FCFF" w:usb2="00000009" w:usb3="00000000" w:csb0="6000019F" w:csb1="DFD7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Helvetica;Arial">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仿宋">
    <w:altName w:val="仿宋"/>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仿宋_GBK">
    <w:altName w:val="微软雅黑"/>
    <w:panose1 w:val="03000509000000000000"/>
    <w:charset w:val="86"/>
    <w:family w:val="script"/>
    <w:pitch w:val="default"/>
    <w:sig w:usb0="00000000" w:usb1="00000000" w:usb2="00000010" w:usb3="00000000" w:csb0="00040000" w:csb1="00000000"/>
  </w:font>
  <w:font w:name="Trebuchet MS">
    <w:panose1 w:val="020B0603020202020204"/>
    <w:charset w:val="00"/>
    <w:family w:val="swiss"/>
    <w:pitch w:val="default"/>
    <w:sig w:usb0="000002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left" w:pos="5153"/>
        <w:tab w:val="right" w:pos="9190"/>
      </w:tabs>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r>
      <w:rPr>
        <w:rFonts w:hint="eastAsia"/>
      </w:rPr>
      <w:tab/>
    </w:r>
    <w:r>
      <w:rPr>
        <w:rFonts w:hint="eastAsia"/>
      </w:rPr>
      <w:tab/>
    </w:r>
    <w:r>
      <w:rPr>
        <w:rFonts w:hint="eastAsia"/>
      </w:rPr>
      <w:t xml:space="preserve">      浙江广厦建设职业技术大学</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rPr>
        <w:rFonts w:hint="eastAsia" w:ascii="宋体" w:hAnsi="宋体" w:eastAsia="宋体" w:cs="宋体"/>
        <w:bCs/>
        <w:szCs w:val="18"/>
        <w:lang w:eastAsia="zh-CN"/>
      </w:rPr>
    </w:pPr>
    <w:r>
      <w:rPr>
        <w:rFonts w:hint="eastAsia" w:ascii="宋体" w:hAnsi="宋体" w:cs="宋体"/>
        <w:bCs/>
        <w:szCs w:val="18"/>
      </w:rPr>
      <w:t>浙江广厦建设职业技术大学</w:t>
    </w:r>
    <w:r>
      <w:rPr>
        <w:rFonts w:hint="eastAsia" w:ascii="宋体" w:hAnsi="宋体" w:cs="宋体"/>
        <w:bCs/>
        <w:szCs w:val="18"/>
        <w:lang w:eastAsia="zh-CN"/>
      </w:rPr>
      <w:t>无线耳机采购项目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1"/>
      <w:numFmt w:val="chineseCountingThousand"/>
      <w:lvlText w:val="%1、"/>
      <w:lvlJc w:val="left"/>
      <w:pPr>
        <w:tabs>
          <w:tab w:val="left" w:pos="0"/>
        </w:tabs>
        <w:ind w:left="720" w:hanging="720"/>
      </w:pPr>
      <w:rPr>
        <w:rFonts w:cs="宋体"/>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1">
    <w:nsid w:val="CF092B84"/>
    <w:multiLevelType w:val="multilevel"/>
    <w:tmpl w:val="CF092B84"/>
    <w:lvl w:ilvl="0" w:tentative="0">
      <w:start w:val="1"/>
      <w:numFmt w:val="chineseCountingThousand"/>
      <w:pStyle w:val="43"/>
      <w:lvlText w:val="第%1章"/>
      <w:lvlJc w:val="left"/>
      <w:pPr>
        <w:tabs>
          <w:tab w:val="left" w:pos="0"/>
        </w:tabs>
        <w:ind w:left="1440" w:hanging="1275"/>
      </w:pPr>
    </w:lvl>
    <w:lvl w:ilvl="1" w:tentative="0">
      <w:start w:val="1"/>
      <w:numFmt w:val="chineseCountingThousand"/>
      <w:lvlText w:val="%2、"/>
      <w:lvlJc w:val="left"/>
      <w:pPr>
        <w:tabs>
          <w:tab w:val="left" w:pos="0"/>
        </w:tabs>
        <w:ind w:left="1305" w:hanging="720"/>
      </w:pPr>
    </w:lvl>
    <w:lvl w:ilvl="2" w:tentative="0">
      <w:start w:val="1"/>
      <w:numFmt w:val="decimal"/>
      <w:lvlText w:val="%3."/>
      <w:lvlJc w:val="left"/>
      <w:pPr>
        <w:tabs>
          <w:tab w:val="left" w:pos="0"/>
        </w:tabs>
        <w:ind w:left="2160" w:hanging="360"/>
      </w:pPr>
    </w:lvl>
    <w:lvl w:ilvl="3" w:tentative="0">
      <w:start w:val="1"/>
      <w:numFmt w:val="decimal"/>
      <w:lvlText w:val="%4."/>
      <w:lvlJc w:val="left"/>
      <w:pPr>
        <w:tabs>
          <w:tab w:val="left" w:pos="0"/>
        </w:tabs>
        <w:ind w:left="2880" w:hanging="360"/>
      </w:pPr>
    </w:lvl>
    <w:lvl w:ilvl="4" w:tentative="0">
      <w:start w:val="1"/>
      <w:numFmt w:val="decimal"/>
      <w:lvlText w:val="%5."/>
      <w:lvlJc w:val="left"/>
      <w:pPr>
        <w:tabs>
          <w:tab w:val="left" w:pos="0"/>
        </w:tabs>
        <w:ind w:left="3600" w:hanging="360"/>
      </w:pPr>
    </w:lvl>
    <w:lvl w:ilvl="5" w:tentative="0">
      <w:start w:val="1"/>
      <w:numFmt w:val="decimal"/>
      <w:lvlText w:val="%6."/>
      <w:lvlJc w:val="left"/>
      <w:pPr>
        <w:tabs>
          <w:tab w:val="left" w:pos="0"/>
        </w:tabs>
        <w:ind w:left="4320" w:hanging="360"/>
      </w:pPr>
    </w:lvl>
    <w:lvl w:ilvl="6" w:tentative="0">
      <w:start w:val="1"/>
      <w:numFmt w:val="decimal"/>
      <w:lvlText w:val="%7."/>
      <w:lvlJc w:val="left"/>
      <w:pPr>
        <w:tabs>
          <w:tab w:val="left" w:pos="0"/>
        </w:tabs>
        <w:ind w:left="5040" w:hanging="360"/>
      </w:pPr>
    </w:lvl>
    <w:lvl w:ilvl="7" w:tentative="0">
      <w:start w:val="1"/>
      <w:numFmt w:val="decimal"/>
      <w:lvlText w:val="%8."/>
      <w:lvlJc w:val="left"/>
      <w:pPr>
        <w:tabs>
          <w:tab w:val="left" w:pos="0"/>
        </w:tabs>
        <w:ind w:left="5760" w:hanging="360"/>
      </w:pPr>
    </w:lvl>
    <w:lvl w:ilvl="8" w:tentative="0">
      <w:start w:val="1"/>
      <w:numFmt w:val="decimal"/>
      <w:lvlText w:val="%9."/>
      <w:lvlJc w:val="left"/>
      <w:pPr>
        <w:tabs>
          <w:tab w:val="left" w:pos="0"/>
        </w:tabs>
        <w:ind w:left="6480" w:hanging="360"/>
      </w:pPr>
    </w:lvl>
  </w:abstractNum>
  <w:abstractNum w:abstractNumId="2">
    <w:nsid w:val="0053208E"/>
    <w:multiLevelType w:val="multilevel"/>
    <w:tmpl w:val="0053208E"/>
    <w:lvl w:ilvl="0" w:tentative="0">
      <w:start w:val="1"/>
      <w:numFmt w:val="none"/>
      <w:suff w:val="nothing"/>
      <w:lvlText w:val=""/>
      <w:lvlJc w:val="left"/>
      <w:pPr>
        <w:tabs>
          <w:tab w:val="left" w:pos="0"/>
        </w:tabs>
        <w:ind w:left="0" w:firstLine="0"/>
      </w:pPr>
    </w:lvl>
    <w:lvl w:ilvl="1" w:tentative="0">
      <w:start w:val="1"/>
      <w:numFmt w:val="none"/>
      <w:pStyle w:val="6"/>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3">
    <w:nsid w:val="18F94E63"/>
    <w:multiLevelType w:val="multilevel"/>
    <w:tmpl w:val="18F94E63"/>
    <w:lvl w:ilvl="0" w:tentative="0">
      <w:start w:val="5"/>
      <w:numFmt w:val="japaneseCounting"/>
      <w:lvlText w:val="%1、"/>
      <w:lvlJc w:val="left"/>
      <w:pPr>
        <w:ind w:left="510" w:hanging="510"/>
      </w:pPr>
      <w:rPr>
        <w:rFonts w:hint="default"/>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21B8A4A"/>
    <w:multiLevelType w:val="singleLevel"/>
    <w:tmpl w:val="321B8A4A"/>
    <w:lvl w:ilvl="0" w:tentative="0">
      <w:start w:val="2"/>
      <w:numFmt w:val="chineseCounting"/>
      <w:suff w:val="nothing"/>
      <w:lvlText w:val="%1、"/>
      <w:lvlJc w:val="left"/>
      <w:rPr>
        <w:rFonts w:hint="eastAsia"/>
      </w:rPr>
    </w:lvl>
  </w:abstractNum>
  <w:abstractNum w:abstractNumId="5">
    <w:nsid w:val="4718142E"/>
    <w:multiLevelType w:val="singleLevel"/>
    <w:tmpl w:val="4718142E"/>
    <w:lvl w:ilvl="0" w:tentative="0">
      <w:start w:val="4"/>
      <w:numFmt w:val="chineseCounting"/>
      <w:suff w:val="nothing"/>
      <w:lvlText w:val="%1、"/>
      <w:lvlJc w:val="left"/>
      <w:rPr>
        <w:rFonts w:hint="eastAsia"/>
      </w:rPr>
    </w:lvl>
  </w:abstractNum>
  <w:num w:numId="1">
    <w:abstractNumId w:val="2"/>
  </w:num>
  <w:num w:numId="2">
    <w:abstractNumId w:val="1"/>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autoHyphenation/>
  <w:noPunctuationKerning w:val="1"/>
  <w:characterSpacingControl w:val="doNotCompress"/>
  <w:compat>
    <w:noLeading/>
    <w:balanceSingleByteDoubleByteWidth/>
    <w:doNotExpandShiftReturn/>
    <w:doNotWrapTextWithPunct/>
    <w:doNotUseEastAsianBreakRules/>
    <w:useFELayout/>
    <w:doNotUseIndentAsNumberingTabStop/>
    <w:useAltKinsokuLineBreakRules/>
    <w:compatSetting w:name="compatibilityMode" w:uri="http://schemas.microsoft.com/office/word" w:val="14"/>
  </w:compat>
  <w:rsids>
    <w:rsidRoot w:val="00AB525C"/>
    <w:rsid w:val="000F0840"/>
    <w:rsid w:val="001038F1"/>
    <w:rsid w:val="001335F1"/>
    <w:rsid w:val="00140989"/>
    <w:rsid w:val="00172710"/>
    <w:rsid w:val="002C0B7F"/>
    <w:rsid w:val="00404D7B"/>
    <w:rsid w:val="0044434B"/>
    <w:rsid w:val="004600A6"/>
    <w:rsid w:val="00495CCC"/>
    <w:rsid w:val="004A50B8"/>
    <w:rsid w:val="00516087"/>
    <w:rsid w:val="005D4645"/>
    <w:rsid w:val="00661D11"/>
    <w:rsid w:val="0066414E"/>
    <w:rsid w:val="006911F9"/>
    <w:rsid w:val="00712491"/>
    <w:rsid w:val="00917156"/>
    <w:rsid w:val="00AB525C"/>
    <w:rsid w:val="00AC2F47"/>
    <w:rsid w:val="00B0507A"/>
    <w:rsid w:val="00E05901"/>
    <w:rsid w:val="02EC77A7"/>
    <w:rsid w:val="03E25F14"/>
    <w:rsid w:val="03F62FB3"/>
    <w:rsid w:val="05A23B6A"/>
    <w:rsid w:val="0607278D"/>
    <w:rsid w:val="06262432"/>
    <w:rsid w:val="06994A8B"/>
    <w:rsid w:val="07A75AFD"/>
    <w:rsid w:val="080E29B4"/>
    <w:rsid w:val="083F6339"/>
    <w:rsid w:val="087E24E7"/>
    <w:rsid w:val="08B22B4C"/>
    <w:rsid w:val="08DD30AA"/>
    <w:rsid w:val="08F604F5"/>
    <w:rsid w:val="0E264489"/>
    <w:rsid w:val="0EA571D7"/>
    <w:rsid w:val="107065E4"/>
    <w:rsid w:val="11A1117F"/>
    <w:rsid w:val="123A7E2C"/>
    <w:rsid w:val="13930594"/>
    <w:rsid w:val="13B7478A"/>
    <w:rsid w:val="15104DA4"/>
    <w:rsid w:val="15341D4B"/>
    <w:rsid w:val="156A7E8D"/>
    <w:rsid w:val="1637067E"/>
    <w:rsid w:val="16437974"/>
    <w:rsid w:val="1727267F"/>
    <w:rsid w:val="17B13E58"/>
    <w:rsid w:val="17CD2EC1"/>
    <w:rsid w:val="195D345D"/>
    <w:rsid w:val="19991978"/>
    <w:rsid w:val="1B7C360D"/>
    <w:rsid w:val="1C9F4B75"/>
    <w:rsid w:val="1CC7020F"/>
    <w:rsid w:val="1D80679D"/>
    <w:rsid w:val="1E274ADE"/>
    <w:rsid w:val="1EA164C8"/>
    <w:rsid w:val="1F5E4560"/>
    <w:rsid w:val="202E5912"/>
    <w:rsid w:val="207B1F35"/>
    <w:rsid w:val="2177158E"/>
    <w:rsid w:val="21856A19"/>
    <w:rsid w:val="222E0510"/>
    <w:rsid w:val="23C24978"/>
    <w:rsid w:val="240336D4"/>
    <w:rsid w:val="25A67063"/>
    <w:rsid w:val="25B070BC"/>
    <w:rsid w:val="260F192D"/>
    <w:rsid w:val="26732D02"/>
    <w:rsid w:val="26876432"/>
    <w:rsid w:val="26CE6C89"/>
    <w:rsid w:val="27362170"/>
    <w:rsid w:val="275736F7"/>
    <w:rsid w:val="279039A4"/>
    <w:rsid w:val="27C30177"/>
    <w:rsid w:val="27F16527"/>
    <w:rsid w:val="281B7DC5"/>
    <w:rsid w:val="283C3D5E"/>
    <w:rsid w:val="28B64D0A"/>
    <w:rsid w:val="28C67585"/>
    <w:rsid w:val="2909567C"/>
    <w:rsid w:val="2967574D"/>
    <w:rsid w:val="2A0F5AD0"/>
    <w:rsid w:val="2A870A34"/>
    <w:rsid w:val="2AC4440C"/>
    <w:rsid w:val="2ACE0B4F"/>
    <w:rsid w:val="2B5B06AE"/>
    <w:rsid w:val="2BAB6B62"/>
    <w:rsid w:val="2CD4195A"/>
    <w:rsid w:val="2D062237"/>
    <w:rsid w:val="2DC42306"/>
    <w:rsid w:val="2F7D7FF1"/>
    <w:rsid w:val="30944267"/>
    <w:rsid w:val="31752E4D"/>
    <w:rsid w:val="32A759F3"/>
    <w:rsid w:val="33E35B95"/>
    <w:rsid w:val="34243802"/>
    <w:rsid w:val="346534AA"/>
    <w:rsid w:val="348B567A"/>
    <w:rsid w:val="34B25045"/>
    <w:rsid w:val="34C41D8A"/>
    <w:rsid w:val="35CA1537"/>
    <w:rsid w:val="3664336C"/>
    <w:rsid w:val="36657AD7"/>
    <w:rsid w:val="36DC3F1E"/>
    <w:rsid w:val="37321B4E"/>
    <w:rsid w:val="37E0408E"/>
    <w:rsid w:val="384F2405"/>
    <w:rsid w:val="38544A02"/>
    <w:rsid w:val="3AC94E4D"/>
    <w:rsid w:val="3AEB337C"/>
    <w:rsid w:val="3B2A1FFC"/>
    <w:rsid w:val="3BB32189"/>
    <w:rsid w:val="3C322F73"/>
    <w:rsid w:val="3CAE7382"/>
    <w:rsid w:val="3CBB3FD0"/>
    <w:rsid w:val="3D924E50"/>
    <w:rsid w:val="3E0C1DEE"/>
    <w:rsid w:val="3EBF7D89"/>
    <w:rsid w:val="3F320ADA"/>
    <w:rsid w:val="3FCC40CC"/>
    <w:rsid w:val="40410C71"/>
    <w:rsid w:val="40641F26"/>
    <w:rsid w:val="406B7C25"/>
    <w:rsid w:val="41143098"/>
    <w:rsid w:val="41770D1F"/>
    <w:rsid w:val="420C2899"/>
    <w:rsid w:val="432A674E"/>
    <w:rsid w:val="436D6006"/>
    <w:rsid w:val="453F61B2"/>
    <w:rsid w:val="461A60FE"/>
    <w:rsid w:val="46A47C03"/>
    <w:rsid w:val="470656AA"/>
    <w:rsid w:val="49D861A9"/>
    <w:rsid w:val="4A650F9C"/>
    <w:rsid w:val="4C0D7E6E"/>
    <w:rsid w:val="4C144BF7"/>
    <w:rsid w:val="4D48462C"/>
    <w:rsid w:val="4D53269F"/>
    <w:rsid w:val="4D9E1705"/>
    <w:rsid w:val="4DC74482"/>
    <w:rsid w:val="4FC64531"/>
    <w:rsid w:val="50AE14AA"/>
    <w:rsid w:val="517972C1"/>
    <w:rsid w:val="51B422A0"/>
    <w:rsid w:val="51D96160"/>
    <w:rsid w:val="55621D5F"/>
    <w:rsid w:val="55B4367E"/>
    <w:rsid w:val="561D19DF"/>
    <w:rsid w:val="562016BC"/>
    <w:rsid w:val="56694B42"/>
    <w:rsid w:val="56781A8E"/>
    <w:rsid w:val="573F5A2A"/>
    <w:rsid w:val="579B1375"/>
    <w:rsid w:val="59526A20"/>
    <w:rsid w:val="597518A3"/>
    <w:rsid w:val="5A0A2AC3"/>
    <w:rsid w:val="5A2669CA"/>
    <w:rsid w:val="5B6675FA"/>
    <w:rsid w:val="5BCD3B74"/>
    <w:rsid w:val="5C776A62"/>
    <w:rsid w:val="5CB67F6A"/>
    <w:rsid w:val="5CC23FE3"/>
    <w:rsid w:val="5E282CCF"/>
    <w:rsid w:val="5E806EE0"/>
    <w:rsid w:val="5FED28BF"/>
    <w:rsid w:val="604D7A4F"/>
    <w:rsid w:val="60521F6C"/>
    <w:rsid w:val="61D93C05"/>
    <w:rsid w:val="62772DA0"/>
    <w:rsid w:val="629D7845"/>
    <w:rsid w:val="63422D82"/>
    <w:rsid w:val="63A5738E"/>
    <w:rsid w:val="63B73291"/>
    <w:rsid w:val="64BA42BC"/>
    <w:rsid w:val="685456D9"/>
    <w:rsid w:val="687E036A"/>
    <w:rsid w:val="68FE5017"/>
    <w:rsid w:val="693D3BA7"/>
    <w:rsid w:val="6ADF4048"/>
    <w:rsid w:val="6BAB719E"/>
    <w:rsid w:val="6BBD79A5"/>
    <w:rsid w:val="6BCE69E9"/>
    <w:rsid w:val="6BE26622"/>
    <w:rsid w:val="6DC557E0"/>
    <w:rsid w:val="6E773C97"/>
    <w:rsid w:val="6F152DFC"/>
    <w:rsid w:val="6F763185"/>
    <w:rsid w:val="6F8B5E21"/>
    <w:rsid w:val="6FE03FA5"/>
    <w:rsid w:val="70162DF4"/>
    <w:rsid w:val="70FD057C"/>
    <w:rsid w:val="7158344A"/>
    <w:rsid w:val="71D8791D"/>
    <w:rsid w:val="721B7640"/>
    <w:rsid w:val="741B2627"/>
    <w:rsid w:val="74C8662B"/>
    <w:rsid w:val="74CC3216"/>
    <w:rsid w:val="74EB324F"/>
    <w:rsid w:val="75852AD2"/>
    <w:rsid w:val="75B57076"/>
    <w:rsid w:val="773B142A"/>
    <w:rsid w:val="77B77146"/>
    <w:rsid w:val="77E77217"/>
    <w:rsid w:val="789611F7"/>
    <w:rsid w:val="78CC7108"/>
    <w:rsid w:val="7A533772"/>
    <w:rsid w:val="7A554D40"/>
    <w:rsid w:val="7C5232BC"/>
    <w:rsid w:val="7C9C2C3F"/>
    <w:rsid w:val="7CB56E62"/>
    <w:rsid w:val="7D360A94"/>
    <w:rsid w:val="7DE02261"/>
    <w:rsid w:val="7FD43EA5"/>
    <w:rsid w:val="7FF121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before="340" w:after="330" w:line="578" w:lineRule="auto"/>
      <w:outlineLvl w:val="0"/>
    </w:pPr>
    <w:rPr>
      <w:b/>
      <w:bCs/>
      <w:kern w:val="44"/>
      <w:sz w:val="44"/>
      <w:szCs w:val="44"/>
    </w:rPr>
  </w:style>
  <w:style w:type="paragraph" w:styleId="6">
    <w:name w:val="heading 2"/>
    <w:basedOn w:val="1"/>
    <w:next w:val="1"/>
    <w:qFormat/>
    <w:uiPriority w:val="0"/>
    <w:pPr>
      <w:keepNext/>
      <w:keepLines/>
      <w:numPr>
        <w:ilvl w:val="1"/>
        <w:numId w:val="1"/>
      </w:numPr>
      <w:spacing w:before="260" w:after="260" w:line="415" w:lineRule="auto"/>
      <w:outlineLvl w:val="1"/>
    </w:pPr>
    <w:rPr>
      <w:rFonts w:ascii="Cambria" w:hAnsi="Cambria" w:cs="Cambria"/>
      <w:b/>
      <w:bCs/>
      <w:sz w:val="32"/>
      <w:szCs w:val="32"/>
    </w:rPr>
  </w:style>
  <w:style w:type="paragraph" w:styleId="7">
    <w:name w:val="heading 6"/>
    <w:basedOn w:val="1"/>
    <w:next w:val="1"/>
    <w:qFormat/>
    <w:uiPriority w:val="0"/>
    <w:pPr>
      <w:keepNext/>
      <w:keepLines/>
      <w:spacing w:before="240" w:after="64" w:line="312" w:lineRule="auto"/>
      <w:outlineLvl w:val="5"/>
    </w:pPr>
    <w:rPr>
      <w:rFonts w:ascii="Arial" w:hAnsi="Arial" w:eastAsia="黑体"/>
      <w:b/>
      <w:sz w:val="24"/>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style>
  <w:style w:type="paragraph" w:styleId="3">
    <w:name w:val="Body Text"/>
    <w:basedOn w:val="1"/>
    <w:next w:val="2"/>
    <w:qFormat/>
    <w:uiPriority w:val="0"/>
    <w:pPr>
      <w:spacing w:after="120"/>
    </w:pPr>
    <w:rPr>
      <w:sz w:val="28"/>
    </w:rPr>
  </w:style>
  <w:style w:type="paragraph" w:styleId="4">
    <w:name w:val="toc 6"/>
    <w:basedOn w:val="1"/>
    <w:next w:val="1"/>
    <w:qFormat/>
    <w:uiPriority w:val="0"/>
    <w:pPr>
      <w:ind w:left="2100"/>
    </w:pPr>
  </w:style>
  <w:style w:type="paragraph" w:styleId="8">
    <w:name w:val="Normal Indent"/>
    <w:basedOn w:val="1"/>
    <w:next w:val="3"/>
    <w:qFormat/>
    <w:uiPriority w:val="0"/>
    <w:pPr>
      <w:ind w:firstLine="420"/>
    </w:pPr>
    <w:rPr>
      <w:szCs w:val="20"/>
    </w:rPr>
  </w:style>
  <w:style w:type="paragraph" w:styleId="9">
    <w:name w:val="caption"/>
    <w:basedOn w:val="1"/>
    <w:next w:val="1"/>
    <w:qFormat/>
    <w:uiPriority w:val="0"/>
    <w:pPr>
      <w:spacing w:before="152" w:after="160"/>
    </w:pPr>
    <w:rPr>
      <w:rFonts w:ascii="Arial" w:hAnsi="Arial" w:eastAsia="黑体" w:cs="Arial"/>
      <w:sz w:val="20"/>
      <w:szCs w:val="20"/>
    </w:rPr>
  </w:style>
  <w:style w:type="paragraph" w:styleId="10">
    <w:name w:val="List Bullet 3"/>
    <w:basedOn w:val="1"/>
    <w:qFormat/>
    <w:uiPriority w:val="0"/>
    <w:pPr>
      <w:ind w:hanging="200"/>
    </w:pPr>
    <w:rPr>
      <w:sz w:val="28"/>
    </w:rPr>
  </w:style>
  <w:style w:type="paragraph" w:styleId="11">
    <w:name w:val="Body Text Indent"/>
    <w:basedOn w:val="1"/>
    <w:next w:val="8"/>
    <w:qFormat/>
    <w:uiPriority w:val="0"/>
    <w:pPr>
      <w:spacing w:line="200" w:lineRule="exact"/>
      <w:ind w:firstLine="301"/>
    </w:pPr>
    <w:rPr>
      <w:rFonts w:ascii="宋体" w:hAnsi="宋体" w:cs="Courier New"/>
      <w:spacing w:val="-4"/>
      <w:sz w:val="18"/>
      <w:szCs w:val="20"/>
    </w:rPr>
  </w:style>
  <w:style w:type="paragraph" w:styleId="12">
    <w:name w:val="Plain Text"/>
    <w:basedOn w:val="1"/>
    <w:next w:val="1"/>
    <w:qFormat/>
    <w:uiPriority w:val="0"/>
    <w:pPr>
      <w:spacing w:before="156" w:beforeLines="50" w:after="156" w:afterLines="50" w:line="400" w:lineRule="exact"/>
    </w:pPr>
    <w:rPr>
      <w:rFonts w:ascii="宋体" w:hAnsi="Courier New"/>
      <w:sz w:val="24"/>
    </w:rPr>
  </w:style>
  <w:style w:type="paragraph" w:styleId="13">
    <w:name w:val="Date"/>
    <w:basedOn w:val="1"/>
    <w:next w:val="1"/>
    <w:qFormat/>
    <w:uiPriority w:val="0"/>
    <w:pPr>
      <w:ind w:left="2500" w:leftChars="2500"/>
    </w:pPr>
    <w:rPr>
      <w:rFonts w:eastAsia="楷体_GB2312"/>
      <w:sz w:val="32"/>
      <w:szCs w:val="20"/>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rPr>
  </w:style>
  <w:style w:type="paragraph" w:styleId="16">
    <w:name w:val="toc 1"/>
    <w:basedOn w:val="1"/>
    <w:next w:val="1"/>
    <w:qFormat/>
    <w:uiPriority w:val="0"/>
  </w:style>
  <w:style w:type="paragraph" w:styleId="17">
    <w:name w:val="footnote text"/>
    <w:basedOn w:val="1"/>
    <w:qFormat/>
    <w:uiPriority w:val="0"/>
    <w:pPr>
      <w:jc w:val="left"/>
    </w:pPr>
    <w:rPr>
      <w:kern w:val="1"/>
      <w:sz w:val="18"/>
    </w:rPr>
  </w:style>
  <w:style w:type="paragraph" w:styleId="18">
    <w:name w:val="toc 2"/>
    <w:basedOn w:val="1"/>
    <w:next w:val="1"/>
    <w:qFormat/>
    <w:uiPriority w:val="0"/>
    <w:pPr>
      <w:ind w:left="420"/>
    </w:pPr>
  </w:style>
  <w:style w:type="paragraph" w:styleId="19">
    <w:name w:val="Normal (Web)"/>
    <w:basedOn w:val="1"/>
    <w:qFormat/>
    <w:uiPriority w:val="0"/>
    <w:pPr>
      <w:spacing w:after="150"/>
      <w:jc w:val="left"/>
    </w:pPr>
    <w:rPr>
      <w:kern w:val="0"/>
      <w:sz w:val="24"/>
    </w:rPr>
  </w:style>
  <w:style w:type="paragraph" w:styleId="20">
    <w:name w:val="Body Text First Indent 2"/>
    <w:basedOn w:val="11"/>
    <w:qFormat/>
    <w:uiPriority w:val="99"/>
    <w:pPr>
      <w:spacing w:after="120" w:line="240" w:lineRule="auto"/>
      <w:ind w:left="420" w:leftChars="200" w:firstLine="420" w:firstLineChars="200"/>
    </w:pPr>
    <w:rPr>
      <w:sz w:val="21"/>
      <w:szCs w:val="24"/>
    </w:rPr>
  </w:style>
  <w:style w:type="character" w:styleId="23">
    <w:name w:val="Strong"/>
    <w:basedOn w:val="22"/>
    <w:qFormat/>
    <w:uiPriority w:val="0"/>
    <w:rPr>
      <w:b/>
      <w:bCs/>
    </w:rPr>
  </w:style>
  <w:style w:type="character" w:styleId="24">
    <w:name w:val="page number"/>
    <w:qFormat/>
    <w:uiPriority w:val="0"/>
  </w:style>
  <w:style w:type="character" w:styleId="25">
    <w:name w:val="FollowedHyperlink"/>
    <w:basedOn w:val="22"/>
    <w:qFormat/>
    <w:uiPriority w:val="0"/>
    <w:rPr>
      <w:color w:val="222222"/>
      <w:u w:val="none"/>
    </w:rPr>
  </w:style>
  <w:style w:type="character" w:styleId="26">
    <w:name w:val="HTML Definition"/>
    <w:basedOn w:val="22"/>
    <w:qFormat/>
    <w:uiPriority w:val="0"/>
    <w:rPr>
      <w:i/>
      <w:iCs/>
    </w:rPr>
  </w:style>
  <w:style w:type="character" w:styleId="27">
    <w:name w:val="Hyperlink"/>
    <w:basedOn w:val="22"/>
    <w:qFormat/>
    <w:uiPriority w:val="0"/>
    <w:rPr>
      <w:color w:val="222222"/>
      <w:u w:val="none"/>
    </w:rPr>
  </w:style>
  <w:style w:type="character" w:styleId="28">
    <w:name w:val="HTML Code"/>
    <w:basedOn w:val="22"/>
    <w:qFormat/>
    <w:uiPriority w:val="0"/>
    <w:rPr>
      <w:rFonts w:hint="default" w:ascii="Consolas" w:hAnsi="Consolas" w:eastAsia="Consolas" w:cs="Consolas"/>
      <w:color w:val="C7254E"/>
      <w:sz w:val="21"/>
      <w:szCs w:val="21"/>
      <w:shd w:val="clear" w:color="auto" w:fill="F9F2F4"/>
    </w:rPr>
  </w:style>
  <w:style w:type="character" w:styleId="29">
    <w:name w:val="HTML Keyboard"/>
    <w:basedOn w:val="22"/>
    <w:qFormat/>
    <w:uiPriority w:val="0"/>
    <w:rPr>
      <w:rFonts w:ascii="Consolas" w:hAnsi="Consolas" w:eastAsia="Consolas" w:cs="Consolas"/>
      <w:color w:val="FFFFFF"/>
      <w:sz w:val="21"/>
      <w:szCs w:val="21"/>
      <w:shd w:val="clear" w:color="auto" w:fill="333333"/>
    </w:rPr>
  </w:style>
  <w:style w:type="character" w:styleId="30">
    <w:name w:val="HTML Sample"/>
    <w:basedOn w:val="22"/>
    <w:qFormat/>
    <w:uiPriority w:val="0"/>
    <w:rPr>
      <w:rFonts w:hint="default" w:ascii="Consolas" w:hAnsi="Consolas" w:eastAsia="Consolas" w:cs="Consolas"/>
      <w:sz w:val="21"/>
      <w:szCs w:val="21"/>
    </w:rPr>
  </w:style>
  <w:style w:type="paragraph" w:customStyle="1" w:styleId="31">
    <w:name w:val="样式 表格正文 + 两端对齐"/>
    <w:basedOn w:val="1"/>
    <w:next w:val="32"/>
    <w:qFormat/>
    <w:uiPriority w:val="0"/>
    <w:pPr>
      <w:spacing w:line="300" w:lineRule="auto"/>
    </w:pPr>
  </w:style>
  <w:style w:type="paragraph" w:customStyle="1" w:styleId="32">
    <w:name w:val="正文1"/>
    <w:basedOn w:val="1"/>
    <w:qFormat/>
    <w:uiPriority w:val="99"/>
    <w:pPr>
      <w:widowControl/>
      <w:overflowPunct w:val="0"/>
      <w:autoSpaceDE w:val="0"/>
      <w:autoSpaceDN w:val="0"/>
      <w:adjustRightInd w:val="0"/>
      <w:spacing w:line="400" w:lineRule="exact"/>
      <w:textAlignment w:val="baseline"/>
    </w:pPr>
    <w:rPr>
      <w:kern w:val="0"/>
      <w:sz w:val="24"/>
      <w:szCs w:val="20"/>
    </w:rPr>
  </w:style>
  <w:style w:type="paragraph" w:customStyle="1" w:styleId="33">
    <w:name w:val="正文首行缩进2字符"/>
    <w:basedOn w:val="1"/>
    <w:qFormat/>
    <w:uiPriority w:val="99"/>
    <w:pPr>
      <w:spacing w:line="360" w:lineRule="auto"/>
      <w:ind w:firstLine="200" w:firstLineChars="200"/>
    </w:pPr>
    <w:rPr>
      <w:rFonts w:ascii="Calibri" w:hAnsi="Calibri" w:eastAsia="仿宋_GB2312"/>
      <w:kern w:val="0"/>
      <w:sz w:val="28"/>
      <w:szCs w:val="21"/>
    </w:rPr>
  </w:style>
  <w:style w:type="paragraph" w:customStyle="1" w:styleId="34">
    <w:name w:val="章正文"/>
    <w:basedOn w:val="1"/>
    <w:qFormat/>
    <w:uiPriority w:val="0"/>
    <w:pPr>
      <w:spacing w:after="120" w:line="300" w:lineRule="auto"/>
      <w:ind w:firstLine="480"/>
    </w:pPr>
    <w:rPr>
      <w:rFonts w:ascii="Helvetica;Arial" w:hAnsi="Helvetica;Arial" w:cs="Helvetica;Arial"/>
      <w:kern w:val="0"/>
    </w:rPr>
  </w:style>
  <w:style w:type="paragraph" w:customStyle="1" w:styleId="35">
    <w:name w:val="正文首行缩进 21"/>
    <w:basedOn w:val="11"/>
    <w:qFormat/>
    <w:uiPriority w:val="0"/>
    <w:pPr>
      <w:spacing w:after="120" w:line="240" w:lineRule="auto"/>
      <w:ind w:left="420" w:firstLine="420"/>
    </w:pPr>
    <w:rPr>
      <w:sz w:val="21"/>
      <w:szCs w:val="24"/>
    </w:rPr>
  </w:style>
  <w:style w:type="paragraph" w:customStyle="1" w:styleId="36">
    <w:name w:val="正文首行缩进1"/>
    <w:basedOn w:val="3"/>
    <w:next w:val="4"/>
    <w:qFormat/>
    <w:uiPriority w:val="0"/>
    <w:pPr>
      <w:ind w:firstLine="420"/>
    </w:pPr>
    <w:rPr>
      <w:rFonts w:ascii="Arial" w:hAnsi="Arial" w:cs="Arial"/>
    </w:rPr>
  </w:style>
  <w:style w:type="character" w:customStyle="1" w:styleId="37">
    <w:name w:val="标题 2 Char1"/>
    <w:qFormat/>
    <w:uiPriority w:val="0"/>
    <w:rPr>
      <w:rFonts w:ascii="Arial" w:hAnsi="Arial" w:eastAsia="宋体" w:cs="Times New Roman"/>
      <w:b/>
      <w:bCs/>
      <w:sz w:val="28"/>
      <w:szCs w:val="32"/>
    </w:rPr>
  </w:style>
  <w:style w:type="character" w:customStyle="1" w:styleId="38">
    <w:name w:val="页码1"/>
    <w:qFormat/>
    <w:uiPriority w:val="0"/>
  </w:style>
  <w:style w:type="character" w:customStyle="1" w:styleId="39">
    <w:name w:val="标题 2 字符"/>
    <w:qFormat/>
    <w:uiPriority w:val="0"/>
    <w:rPr>
      <w:rFonts w:ascii="Cambria" w:hAnsi="Cambria" w:eastAsia="宋体" w:cs="Times New Roman"/>
      <w:b/>
      <w:bCs/>
      <w:kern w:val="2"/>
      <w:sz w:val="32"/>
      <w:szCs w:val="32"/>
    </w:rPr>
  </w:style>
  <w:style w:type="character" w:customStyle="1" w:styleId="40">
    <w:name w:val="font11"/>
    <w:qFormat/>
    <w:uiPriority w:val="0"/>
    <w:rPr>
      <w:rFonts w:ascii="Times New Roman" w:hAnsi="Times New Roman" w:cs="Times New Roman"/>
      <w:color w:val="000000"/>
      <w:sz w:val="24"/>
      <w:szCs w:val="24"/>
      <w:u w:val="none"/>
    </w:rPr>
  </w:style>
  <w:style w:type="character" w:customStyle="1" w:styleId="41">
    <w:name w:val="font31"/>
    <w:qFormat/>
    <w:uiPriority w:val="0"/>
    <w:rPr>
      <w:rFonts w:ascii="宋体" w:hAnsi="宋体" w:eastAsia="宋体" w:cs="宋体"/>
      <w:color w:val="000000"/>
      <w:sz w:val="24"/>
      <w:szCs w:val="24"/>
      <w:u w:val="none"/>
      <w:vertAlign w:val="superscript"/>
    </w:rPr>
  </w:style>
  <w:style w:type="character" w:customStyle="1" w:styleId="42">
    <w:name w:val="NormalCharacter"/>
    <w:qFormat/>
    <w:uiPriority w:val="0"/>
  </w:style>
  <w:style w:type="paragraph" w:customStyle="1" w:styleId="43">
    <w:name w:val="列表编号1"/>
    <w:basedOn w:val="1"/>
    <w:qFormat/>
    <w:uiPriority w:val="0"/>
    <w:pPr>
      <w:widowControl/>
      <w:numPr>
        <w:ilvl w:val="0"/>
        <w:numId w:val="2"/>
      </w:numPr>
      <w:tabs>
        <w:tab w:val="left" w:pos="454"/>
        <w:tab w:val="left" w:pos="720"/>
      </w:tabs>
      <w:spacing w:after="156"/>
      <w:ind w:left="1354" w:hanging="284"/>
      <w:jc w:val="left"/>
    </w:pPr>
    <w:rPr>
      <w:kern w:val="0"/>
      <w:sz w:val="24"/>
      <w:szCs w:val="20"/>
    </w:rPr>
  </w:style>
  <w:style w:type="paragraph" w:customStyle="1" w:styleId="44">
    <w:name w:val="纯文本1"/>
    <w:basedOn w:val="1"/>
    <w:next w:val="1"/>
    <w:qFormat/>
    <w:uiPriority w:val="0"/>
    <w:pPr>
      <w:spacing w:before="156" w:after="156" w:line="400" w:lineRule="exact"/>
    </w:pPr>
    <w:rPr>
      <w:rFonts w:ascii="宋体" w:hAnsi="宋体" w:cs="Courier New"/>
      <w:sz w:val="24"/>
    </w:rPr>
  </w:style>
  <w:style w:type="paragraph" w:customStyle="1" w:styleId="45">
    <w:name w:val="正文文本缩进 31"/>
    <w:basedOn w:val="1"/>
    <w:qFormat/>
    <w:uiPriority w:val="0"/>
    <w:pPr>
      <w:snapToGrid w:val="0"/>
      <w:ind w:firstLine="480"/>
      <w:jc w:val="left"/>
    </w:pPr>
    <w:rPr>
      <w:rFonts w:ascii="仿宋_GB2312;仿宋" w:hAnsi="仿宋_GB2312;仿宋" w:eastAsia="仿宋_GB2312;仿宋" w:cs="宋体"/>
      <w:color w:val="000000"/>
      <w:sz w:val="24"/>
    </w:rPr>
  </w:style>
  <w:style w:type="paragraph" w:customStyle="1" w:styleId="46">
    <w:name w:val="默认段落字体 Para Char Char Char Char Char Char Char Char Char1 Char Char Char Char"/>
    <w:basedOn w:val="1"/>
    <w:qFormat/>
    <w:uiPriority w:val="0"/>
    <w:rPr>
      <w:rFonts w:ascii="Tahoma" w:hAnsi="Tahoma" w:cs="Tahoma"/>
      <w:sz w:val="24"/>
      <w:szCs w:val="20"/>
    </w:rPr>
  </w:style>
  <w:style w:type="paragraph" w:styleId="47">
    <w:name w:val="List Paragraph"/>
    <w:basedOn w:val="1"/>
    <w:qFormat/>
    <w:uiPriority w:val="99"/>
    <w:pPr>
      <w:ind w:firstLine="420" w:firstLineChars="200"/>
    </w:pPr>
  </w:style>
  <w:style w:type="character" w:customStyle="1" w:styleId="48">
    <w:name w:val="font41"/>
    <w:basedOn w:val="22"/>
    <w:qFormat/>
    <w:uiPriority w:val="0"/>
    <w:rPr>
      <w:rFonts w:ascii="Tahoma" w:hAnsi="Tahoma" w:eastAsia="Tahoma" w:cs="Tahoma"/>
      <w:color w:val="000000"/>
      <w:sz w:val="18"/>
      <w:szCs w:val="18"/>
      <w:u w:val="none"/>
    </w:rPr>
  </w:style>
  <w:style w:type="character" w:customStyle="1" w:styleId="49">
    <w:name w:val="font51"/>
    <w:qFormat/>
    <w:uiPriority w:val="0"/>
    <w:rPr>
      <w:rFonts w:hint="eastAsia" w:ascii="宋体" w:hAnsi="宋体" w:eastAsia="宋体" w:cs="宋体"/>
      <w:color w:val="000000"/>
      <w:sz w:val="20"/>
      <w:szCs w:val="20"/>
      <w:u w:val="none"/>
    </w:rPr>
  </w:style>
  <w:style w:type="character" w:customStyle="1" w:styleId="50">
    <w:name w:val="font61"/>
    <w:qFormat/>
    <w:uiPriority w:val="0"/>
    <w:rPr>
      <w:rFonts w:hint="eastAsia" w:ascii="宋体" w:hAnsi="宋体" w:eastAsia="宋体" w:cs="宋体"/>
      <w:color w:val="000000"/>
      <w:sz w:val="20"/>
      <w:szCs w:val="20"/>
      <w:u w:val="none"/>
    </w:rPr>
  </w:style>
  <w:style w:type="character" w:customStyle="1" w:styleId="51">
    <w:name w:val="font01"/>
    <w:basedOn w:val="22"/>
    <w:qFormat/>
    <w:uiPriority w:val="0"/>
    <w:rPr>
      <w:rFonts w:hint="eastAsia" w:ascii="微软雅黑" w:hAnsi="微软雅黑" w:eastAsia="微软雅黑" w:cs="微软雅黑"/>
      <w:color w:val="000000"/>
      <w:sz w:val="18"/>
      <w:szCs w:val="18"/>
      <w:u w:val="none"/>
    </w:rPr>
  </w:style>
  <w:style w:type="paragraph" w:customStyle="1" w:styleId="52">
    <w:name w:val="内文正文"/>
    <w:qFormat/>
    <w:uiPriority w:val="0"/>
    <w:pPr>
      <w:adjustRightInd w:val="0"/>
      <w:snapToGrid w:val="0"/>
      <w:spacing w:line="400" w:lineRule="exact"/>
      <w:ind w:firstLine="200" w:firstLineChars="200"/>
    </w:pPr>
    <w:rPr>
      <w:rFonts w:ascii="Arial" w:hAnsi="Arial" w:eastAsia="宋体" w:cs="Times New Roman"/>
      <w:color w:val="000000"/>
      <w:kern w:val="2"/>
      <w:sz w:val="21"/>
      <w:szCs w:val="21"/>
      <w:lang w:val="en-US" w:eastAsia="zh-CN" w:bidi="ar-SA"/>
    </w:rPr>
  </w:style>
  <w:style w:type="paragraph" w:customStyle="1" w:styleId="53">
    <w:name w:val="表格文字"/>
    <w:next w:val="3"/>
    <w:qFormat/>
    <w:locked/>
    <w:uiPriority w:val="0"/>
    <w:pPr>
      <w:spacing w:beforeLines="25" w:afterLines="25"/>
      <w:jc w:val="center"/>
    </w:pPr>
    <w:rPr>
      <w:rFonts w:ascii="Times New Roman" w:hAnsi="Times New Roman" w:eastAsia="宋体" w:cs="Times New Roman"/>
      <w:kern w:val="2"/>
      <w:sz w:val="24"/>
      <w:szCs w:val="28"/>
      <w:lang w:val="en-US" w:eastAsia="zh-CN" w:bidi="ar-SA"/>
    </w:rPr>
  </w:style>
  <w:style w:type="character" w:customStyle="1" w:styleId="54">
    <w:name w:val="font21"/>
    <w:basedOn w:val="22"/>
    <w:qFormat/>
    <w:uiPriority w:val="0"/>
    <w:rPr>
      <w:rFonts w:hint="eastAsia" w:ascii="微软雅黑" w:hAnsi="微软雅黑" w:eastAsia="微软雅黑" w:cs="微软雅黑"/>
      <w:color w:val="000000"/>
      <w:sz w:val="18"/>
      <w:szCs w:val="18"/>
      <w:u w:val="none"/>
    </w:rPr>
  </w:style>
  <w:style w:type="paragraph" w:customStyle="1" w:styleId="55">
    <w:name w:val="正文2"/>
    <w:basedOn w:val="1"/>
    <w:qFormat/>
    <w:uiPriority w:val="0"/>
    <w:pPr>
      <w:spacing w:before="156" w:line="360" w:lineRule="auto"/>
      <w:ind w:firstLine="510" w:firstLineChars="200"/>
    </w:pPr>
    <w:rPr>
      <w:sz w:val="24"/>
      <w:szCs w:val="20"/>
    </w:rPr>
  </w:style>
  <w:style w:type="character" w:customStyle="1" w:styleId="56">
    <w:name w:val="first-child"/>
    <w:basedOn w:val="22"/>
    <w:qFormat/>
    <w:uiPriority w:val="0"/>
  </w:style>
  <w:style w:type="character" w:customStyle="1" w:styleId="57">
    <w:name w:val="layui-this"/>
    <w:basedOn w:val="22"/>
    <w:qFormat/>
    <w:uiPriority w:val="0"/>
    <w:rPr>
      <w:bdr w:val="single" w:color="EEEEEE" w:sz="6" w:space="0"/>
      <w:shd w:val="clear" w:color="auto" w:fill="FFFFFF"/>
    </w:rPr>
  </w:style>
  <w:style w:type="character" w:customStyle="1" w:styleId="58">
    <w:name w:val="hover11"/>
    <w:basedOn w:val="22"/>
    <w:qFormat/>
    <w:uiPriority w:val="0"/>
    <w:rPr>
      <w:color w:val="1258AD"/>
      <w:u w:val="none"/>
      <w:bdr w:val="single" w:color="1258AD" w:sz="6" w:space="0"/>
    </w:rPr>
  </w:style>
  <w:style w:type="character" w:customStyle="1" w:styleId="59">
    <w:name w:val="font91"/>
    <w:qFormat/>
    <w:uiPriority w:val="0"/>
    <w:rPr>
      <w:rFonts w:hint="eastAsia" w:ascii="宋体" w:hAnsi="宋体" w:eastAsia="宋体" w:cs="宋体"/>
      <w:color w:val="000000"/>
      <w:sz w:val="24"/>
      <w:szCs w:val="24"/>
      <w:u w:val="none"/>
    </w:rPr>
  </w:style>
  <w:style w:type="paragraph" w:customStyle="1" w:styleId="60">
    <w:name w:val="样式 正文文本缩进 + 左  0 字符"/>
    <w:basedOn w:val="11"/>
    <w:qFormat/>
    <w:uiPriority w:val="99"/>
    <w:pPr>
      <w:spacing w:line="360" w:lineRule="auto"/>
      <w:ind w:firstLine="250" w:firstLineChars="250"/>
    </w:pPr>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2260</Words>
  <Characters>12884</Characters>
  <Lines>107</Lines>
  <Paragraphs>30</Paragraphs>
  <TotalTime>11</TotalTime>
  <ScaleCrop>false</ScaleCrop>
  <LinksUpToDate>false</LinksUpToDate>
  <CharactersWithSpaces>15114</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2021-07-13T16:56:00Z</dcterms:created>
  <dc:creator>vilibook</dc:creator>
  <cp:lastModifiedBy>Administrator</cp:lastModifiedBy>
  <cp:lastPrinted>2021-11-17T06:35:32Z</cp:lastPrinted>
  <dcterms:modified xsi:type="dcterms:W3CDTF">2021-11-17T06:59:57Z</dcterms:modified>
  <dc:title>浙江泰宁建设工程管理咨询有限公司</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84714BB03D9B4EB4A4830AE564831152</vt:lpwstr>
  </property>
  <property fmtid="{D5CDD505-2E9C-101B-9397-08002B2CF9AE}" pid="3" name="KSOProductBuildVer">
    <vt:lpwstr>2052-11.1.0.11045</vt:lpwstr>
  </property>
</Properties>
</file>