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22"/>
        <w:spacing w:before="100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4"/>
        </w:rPr>
        <w:t>附件</w:t>
      </w:r>
      <w:r>
        <w:rPr>
          <w:rFonts w:ascii="SimHei" w:hAnsi="SimHei" w:eastAsia="SimHei" w:cs="SimHei"/>
          <w:sz w:val="31"/>
          <w:szCs w:val="31"/>
          <w:spacing w:val="-3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1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spacing w:line="280" w:lineRule="auto"/>
        <w:rPr>
          <w:rFonts w:ascii="Arial"/>
          <w:sz w:val="21"/>
        </w:rPr>
      </w:pPr>
      <w:r/>
    </w:p>
    <w:p>
      <w:pPr>
        <w:ind w:left="849"/>
        <w:spacing w:before="167" w:line="232" w:lineRule="auto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Times New Roman" w:hAnsi="Times New Roman" w:eastAsia="Times New Roman" w:cs="Times New Roman"/>
          <w:sz w:val="43"/>
          <w:szCs w:val="43"/>
          <w:spacing w:val="7"/>
        </w:rPr>
        <w:t>2026 </w:t>
      </w:r>
      <w:r>
        <w:rPr>
          <w:rFonts w:ascii="FZXiaoBiaoSong-B05S" w:hAnsi="FZXiaoBiaoSong-B05S" w:eastAsia="FZXiaoBiaoSong-B05S" w:cs="FZXiaoBiaoSong-B05S"/>
          <w:sz w:val="43"/>
          <w:szCs w:val="43"/>
          <w:spacing w:val="7"/>
        </w:rPr>
        <w:t>年度浙江省人力资源和社会保障</w:t>
      </w:r>
    </w:p>
    <w:p>
      <w:pPr>
        <w:ind w:left="3098"/>
        <w:spacing w:before="1" w:line="206" w:lineRule="auto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z w:val="43"/>
          <w:szCs w:val="43"/>
          <w:spacing w:val="9"/>
        </w:rPr>
        <w:t>课题选题指南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spacing w:line="330" w:lineRule="auto"/>
        <w:rPr>
          <w:rFonts w:ascii="Arial"/>
          <w:sz w:val="21"/>
        </w:rPr>
      </w:pPr>
      <w:r/>
    </w:p>
    <w:p>
      <w:pPr>
        <w:ind w:left="648"/>
        <w:spacing w:before="101" w:line="226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一、重点课题</w:t>
      </w:r>
    </w:p>
    <w:p>
      <w:pPr>
        <w:ind w:left="669"/>
        <w:spacing w:before="240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（一）完善创业陪跑体系强化创业带动就业能力研究</w:t>
      </w:r>
    </w:p>
    <w:p>
      <w:pPr>
        <w:ind w:left="1" w:firstLine="655"/>
        <w:spacing w:before="231" w:line="369" w:lineRule="auto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  <w:spacing w:val="4"/>
        </w:rPr>
        <w:t>主要研究内容：总结我省创业陪跑体系建设成效，深入分析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存在的突出问题，找准构建“多维度、全方位、全周期”创业陪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跑体系的切入点和关键环节，研究提出以系统性陪跑服务提升创</w:t>
      </w:r>
      <w:r>
        <w:rPr>
          <w:rFonts w:ascii="FangSong_GB2312" w:hAnsi="FangSong_GB2312" w:eastAsia="FangSong_GB2312" w:cs="FangSong_GB2312"/>
          <w:sz w:val="31"/>
          <w:szCs w:val="31"/>
          <w:spacing w:val="7"/>
        </w:rPr>
        <w:t>业质量、拓展就业容量、增强就业韧性的政策举措和实施路径。</w:t>
      </w:r>
    </w:p>
    <w:p>
      <w:pPr>
        <w:ind w:left="669"/>
        <w:spacing w:before="5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（二）完善多元协同重点群体就业精准帮扶体系研究</w:t>
      </w:r>
    </w:p>
    <w:p>
      <w:pPr>
        <w:ind w:right="45" w:firstLine="657"/>
        <w:spacing w:before="237" w:line="369" w:lineRule="auto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  <w:spacing w:val="4"/>
        </w:rPr>
        <w:t>主要研究内容：总结我省重点群体就业帮扶主要做法，深入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分析存在的问题和短板，研究如何推动跨部门、跨层级、跨领域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资源高效协同，提出构建动态识别、精准匹配、闭环管理的重点</w:t>
      </w:r>
      <w:r>
        <w:rPr>
          <w:rFonts w:ascii="FangSong_GB2312" w:hAnsi="FangSong_GB2312" w:eastAsia="FangSong_GB2312" w:cs="FangSong_GB2312"/>
          <w:sz w:val="31"/>
          <w:szCs w:val="31"/>
          <w:spacing w:val="9"/>
        </w:rPr>
        <w:t>群体就业帮扶创新举措，提升就业帮扶整体效能。</w:t>
      </w:r>
    </w:p>
    <w:p>
      <w:pPr>
        <w:ind w:left="669"/>
        <w:spacing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（三）人工智能对制造业就业的影响和对策研究</w:t>
      </w:r>
    </w:p>
    <w:p>
      <w:pPr>
        <w:ind w:left="7" w:right="45" w:firstLine="649"/>
        <w:spacing w:before="236" w:line="369" w:lineRule="auto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  <w:spacing w:val="4"/>
        </w:rPr>
        <w:t>主要研究内容：深入分析研判人工智能发展趋势，调研分析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人工智能对我省制造业等重点行业就业的影响，分析就业替代效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应和就业创造效应情况，研究提出应对人工智能对制造业就业冲</w:t>
      </w:r>
    </w:p>
    <w:p>
      <w:pPr>
        <w:spacing w:line="369" w:lineRule="auto"/>
        <w:sectPr>
          <w:footerReference w:type="default" r:id="rId1"/>
          <w:pgSz w:w="11907" w:h="16840"/>
          <w:pgMar w:top="1431" w:right="1428" w:bottom="1689" w:left="1596" w:header="0" w:footer="1324" w:gutter="0"/>
        </w:sectPr>
        <w:rPr>
          <w:rFonts w:ascii="FangSong_GB2312" w:hAnsi="FangSong_GB2312" w:eastAsia="FangSong_GB2312" w:cs="FangSong_GB2312"/>
          <w:sz w:val="31"/>
          <w:szCs w:val="31"/>
        </w:rPr>
      </w:pP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18"/>
        <w:spacing w:before="101" w:line="218" w:lineRule="auto"/>
        <w:rPr/>
      </w:pPr>
      <w:r>
        <w:rPr>
          <w:spacing w:val="6"/>
        </w:rPr>
        <w:t>击的针对性对策建议。</w:t>
      </w:r>
    </w:p>
    <w:p>
      <w:pPr>
        <w:ind w:left="669"/>
        <w:spacing w:before="250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（四）浙江省科技人才区域协同发展对策研究</w:t>
      </w:r>
    </w:p>
    <w:p>
      <w:pPr>
        <w:pStyle w:val="BodyText"/>
        <w:ind w:firstLine="657"/>
        <w:spacing w:before="235" w:line="369" w:lineRule="auto"/>
        <w:rPr/>
      </w:pPr>
      <w:r>
        <w:rPr>
          <w:spacing w:val="4"/>
        </w:rPr>
        <w:t>主要研究内容：立足浙江人才战略布局，聚焦实施创新浙江</w:t>
      </w:r>
      <w:r>
        <w:rPr>
          <w:spacing w:val="7"/>
        </w:rPr>
        <w:t>战略，深入分析我省科技人才区域协同发展面临的形势和</w:t>
      </w:r>
      <w:r>
        <w:rPr>
          <w:spacing w:val="6"/>
        </w:rPr>
        <w:t>问题，</w:t>
      </w:r>
      <w:r>
        <w:rPr>
          <w:spacing w:val="5"/>
        </w:rPr>
        <w:t>借鉴国外区域人才协同发展模式与经验，梳理省内各市科技人才</w:t>
      </w:r>
      <w:r>
        <w:rPr>
          <w:spacing w:val="5"/>
        </w:rPr>
        <w:t>梯队分布现状，从机制创新、资源统筹、平台联动等维度提出科</w:t>
      </w:r>
      <w:r>
        <w:rPr>
          <w:spacing w:val="8"/>
        </w:rPr>
        <w:t>技人才差异化协同发展对策建议。</w:t>
      </w:r>
    </w:p>
    <w:p>
      <w:pPr>
        <w:ind w:left="669"/>
        <w:spacing w:before="3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-9"/>
        </w:rPr>
        <w:t>（五）人力资源服务业赋能先进制造业高质量发展的路径研究</w:t>
      </w:r>
    </w:p>
    <w:p>
      <w:pPr>
        <w:pStyle w:val="BodyText"/>
        <w:ind w:left="12" w:right="38" w:firstLine="644"/>
        <w:spacing w:before="236" w:line="369" w:lineRule="auto"/>
        <w:rPr/>
      </w:pPr>
      <w:r>
        <w:rPr>
          <w:spacing w:val="13"/>
        </w:rPr>
        <w:t>主要研究内容：围绕我省“</w:t>
      </w:r>
      <w:r>
        <w:rPr>
          <w:rFonts w:ascii="Times New Roman" w:hAnsi="Times New Roman" w:eastAsia="Times New Roman" w:cs="Times New Roman"/>
          <w:spacing w:val="13"/>
        </w:rPr>
        <w:t>415X</w:t>
      </w:r>
      <w:r>
        <w:rPr>
          <w:spacing w:val="13"/>
        </w:rPr>
        <w:t>”先进制造业集群建设，</w:t>
      </w:r>
      <w:r>
        <w:rPr>
          <w:spacing w:val="5"/>
        </w:rPr>
        <w:t>结合先进制造业发展趋势和现实需要，总结人力资源服务业赋能</w:t>
      </w:r>
      <w:r>
        <w:rPr>
          <w:spacing w:val="5"/>
        </w:rPr>
        <w:t>制造业高质量发展的实践做法，深入分析存在的问题与挑战，研</w:t>
      </w:r>
      <w:r>
        <w:rPr>
          <w:spacing w:val="17"/>
        </w:rPr>
        <w:t>究提出人力资源服务业赋能制造业高质量发展</w:t>
      </w:r>
      <w:r>
        <w:rPr>
          <w:spacing w:val="16"/>
        </w:rPr>
        <w:t>的提升路径和对</w:t>
      </w:r>
      <w:r>
        <w:rPr>
          <w:spacing w:val="2"/>
        </w:rPr>
        <w:t>策建议。</w:t>
      </w:r>
    </w:p>
    <w:p>
      <w:pPr>
        <w:ind w:left="669"/>
        <w:spacing w:before="2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（六）新就业形态人员职业伤害保障制度完善研究</w:t>
      </w:r>
    </w:p>
    <w:p>
      <w:pPr>
        <w:pStyle w:val="BodyText"/>
        <w:ind w:left="2" w:right="38" w:firstLine="654"/>
        <w:spacing w:before="236" w:line="369" w:lineRule="auto"/>
        <w:rPr/>
      </w:pPr>
      <w:r>
        <w:rPr>
          <w:spacing w:val="4"/>
        </w:rPr>
        <w:t>主要研究内容：总结评估全国新就业形态人员职业伤害保障</w:t>
      </w:r>
      <w:r>
        <w:rPr>
          <w:spacing w:val="5"/>
        </w:rPr>
        <w:t>试点成效，深入分析试点运行中的突出问题与产生根源，梳理国</w:t>
      </w:r>
      <w:r>
        <w:rPr>
          <w:spacing w:val="5"/>
        </w:rPr>
        <w:t>内外零工经济从业者职业伤害保障的创新实践与成熟模式，从明</w:t>
      </w:r>
      <w:r>
        <w:rPr>
          <w:spacing w:val="5"/>
        </w:rPr>
        <w:t>确适用范围、差异化缴费机制、职业伤害认定标准、待遇保障体</w:t>
      </w:r>
      <w:r>
        <w:rPr>
          <w:spacing w:val="5"/>
        </w:rPr>
        <w:t>系、基金运行规则、职业伤害预防等方面，研究提出制度优化完</w:t>
      </w:r>
      <w:r>
        <w:rPr>
          <w:spacing w:val="7"/>
        </w:rPr>
        <w:t>善思路及实施路径。</w:t>
      </w:r>
    </w:p>
    <w:p>
      <w:pPr>
        <w:spacing w:line="369" w:lineRule="auto"/>
        <w:sectPr>
          <w:footerReference w:type="default" r:id="rId2"/>
          <w:pgSz w:w="11907" w:h="16840"/>
          <w:pgMar w:top="1431" w:right="1436" w:bottom="1689" w:left="1596" w:header="0" w:footer="1324" w:gutter="0"/>
        </w:sectPr>
        <w:rPr/>
      </w:pP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23" w:right="52" w:firstLine="647"/>
        <w:spacing w:before="101" w:line="36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12"/>
        </w:rPr>
        <w:t>（七）浙江省实施《社会保险法》</w:t>
      </w:r>
      <w:r>
        <w:rPr>
          <w:rFonts w:ascii="Times New Roman" w:hAnsi="Times New Roman" w:eastAsia="Times New Roman" w:cs="Times New Roman"/>
          <w:sz w:val="31"/>
          <w:szCs w:val="31"/>
          <w:spacing w:val="12"/>
        </w:rPr>
        <w:t>15 </w:t>
      </w:r>
      <w:r>
        <w:rPr>
          <w:rFonts w:ascii="KaiTi" w:hAnsi="KaiTi" w:eastAsia="KaiTi" w:cs="KaiTi"/>
          <w:sz w:val="31"/>
          <w:szCs w:val="31"/>
          <w:spacing w:val="12"/>
        </w:rPr>
        <w:t>周年效果评估与制度</w:t>
      </w:r>
      <w:r>
        <w:rPr>
          <w:rFonts w:ascii="KaiTi" w:hAnsi="KaiTi" w:eastAsia="KaiTi" w:cs="KaiTi"/>
          <w:sz w:val="31"/>
          <w:szCs w:val="31"/>
          <w:spacing w:val="2"/>
        </w:rPr>
        <w:t>完善研究</w:t>
      </w:r>
    </w:p>
    <w:p>
      <w:pPr>
        <w:pStyle w:val="BodyText"/>
        <w:ind w:left="2" w:firstLine="657"/>
        <w:spacing w:before="3" w:line="369" w:lineRule="auto"/>
        <w:jc w:val="both"/>
        <w:rPr/>
      </w:pPr>
      <w:r>
        <w:rPr>
          <w:spacing w:val="8"/>
        </w:rPr>
        <w:t>主要研究内容：系统评估《社会保险法》实施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15 </w:t>
      </w:r>
      <w:r>
        <w:rPr>
          <w:spacing w:val="8"/>
        </w:rPr>
        <w:t>年来在制</w:t>
      </w:r>
      <w:r>
        <w:rPr>
          <w:spacing w:val="5"/>
        </w:rPr>
        <w:t>度统一、全民覆盖、权益保障、基金安全、经办服务等维度的主</w:t>
      </w:r>
      <w:r>
        <w:rPr>
          <w:spacing w:val="5"/>
        </w:rPr>
        <w:t>要成效与立法目标实现度，聚焦人口老龄化加速、数字经济新业</w:t>
      </w:r>
      <w:r>
        <w:rPr>
          <w:spacing w:val="7"/>
        </w:rPr>
        <w:t>态发展、人口跨区域流动加剧等挑战，深度剖析法律制度供给、</w:t>
      </w:r>
      <w:r>
        <w:rPr>
          <w:spacing w:val="5"/>
        </w:rPr>
        <w:t>基金可持续发展、新业态参保适配等方面问题，提出《社会保险</w:t>
      </w:r>
      <w:r>
        <w:rPr>
          <w:spacing w:val="5"/>
        </w:rPr>
        <w:t>法》修订完善的具体立法建议，以及配套制度优化、治理机制升</w:t>
      </w:r>
      <w:r>
        <w:rPr>
          <w:spacing w:val="7"/>
        </w:rPr>
        <w:t>级的实施路径。</w:t>
      </w:r>
    </w:p>
    <w:p>
      <w:pPr>
        <w:ind w:left="671"/>
        <w:spacing w:line="228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（八）新就业形态劳动权益救济多元协同保障机制研究</w:t>
      </w:r>
    </w:p>
    <w:p>
      <w:pPr>
        <w:pStyle w:val="BodyText"/>
        <w:ind w:right="13" w:firstLine="659"/>
        <w:spacing w:before="237" w:line="369" w:lineRule="auto"/>
        <w:rPr/>
      </w:pPr>
      <w:r>
        <w:rPr>
          <w:spacing w:val="4"/>
        </w:rPr>
        <w:t>主要研究内容：梳理我国新就业形态劳动权益救济相关法律</w:t>
      </w:r>
      <w:r>
        <w:rPr>
          <w:spacing w:val="5"/>
        </w:rPr>
        <w:t>法规、政策文件与典型司法实践，评估现有救济制度体系的运行</w:t>
      </w:r>
      <w:r>
        <w:rPr>
          <w:spacing w:val="5"/>
        </w:rPr>
        <w:t>实效、适配性水平与适用盲区。总结新就业形态劳动权益救济困</w:t>
      </w:r>
      <w:r>
        <w:rPr>
          <w:spacing w:val="5"/>
        </w:rPr>
        <w:t>境，分析问题根源，借鉴国内外新就业形态劳动权益保障地方立</w:t>
      </w:r>
      <w:r>
        <w:rPr>
          <w:spacing w:val="7"/>
        </w:rPr>
        <w:t>法、司法实践与制度试点经验，提炼本土实践中的可复制经验，</w:t>
      </w:r>
      <w:r>
        <w:rPr>
          <w:spacing w:val="9"/>
        </w:rPr>
        <w:t>提出救济渠道优化和全流程高效运转的系统方案。</w:t>
      </w:r>
    </w:p>
    <w:p>
      <w:pPr>
        <w:ind w:left="671"/>
        <w:spacing w:line="231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（九）新就业形态劳动者权益保障的省域立法研究</w:t>
      </w:r>
    </w:p>
    <w:p>
      <w:pPr>
        <w:pStyle w:val="BodyText"/>
        <w:ind w:left="11" w:right="52" w:firstLine="648"/>
        <w:spacing w:before="231" w:line="369" w:lineRule="auto"/>
        <w:rPr/>
      </w:pPr>
      <w:r>
        <w:rPr>
          <w:spacing w:val="4"/>
        </w:rPr>
        <w:t>主要研究内容：系统梳理新就业形态的类型划分、用工模式</w:t>
      </w:r>
      <w:r>
        <w:rPr>
          <w:spacing w:val="5"/>
        </w:rPr>
        <w:t>特征与法律属性，厘清不同用工模式下的法律关系本质；全面梳</w:t>
      </w:r>
      <w:r>
        <w:rPr>
          <w:spacing w:val="5"/>
        </w:rPr>
        <w:t>理相关政策法规、司法实践与立法探索，对比分析不同立法模式</w:t>
      </w:r>
    </w:p>
    <w:p>
      <w:pPr>
        <w:spacing w:line="369" w:lineRule="auto"/>
        <w:sectPr>
          <w:footerReference w:type="default" r:id="rId3"/>
          <w:pgSz w:w="11907" w:h="16840"/>
          <w:pgMar w:top="1431" w:right="1422" w:bottom="1689" w:left="1593" w:header="0" w:footer="1324" w:gutter="0"/>
        </w:sectPr>
        <w:rPr/>
      </w:pP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pStyle w:val="BodyText"/>
        <w:ind w:left="1" w:right="38" w:firstLine="36"/>
        <w:spacing w:before="101" w:line="369" w:lineRule="auto"/>
        <w:jc w:val="both"/>
        <w:rPr/>
      </w:pPr>
      <w:r>
        <w:rPr>
          <w:spacing w:val="4"/>
        </w:rPr>
        <w:t>的适配性与优劣，总结可借鉴的先行经验。系统分析我省新就业</w:t>
      </w:r>
      <w:r>
        <w:rPr>
          <w:spacing w:val="5"/>
        </w:rPr>
        <w:t>形态劳动者权益保障现状，精准识别存在的难点堵点，明确我省</w:t>
      </w:r>
      <w:r>
        <w:rPr>
          <w:spacing w:val="5"/>
        </w:rPr>
        <w:t>省域立法的核心诉求、重点方向与制度突破空间，明确相关主体</w:t>
      </w:r>
      <w:r>
        <w:rPr>
          <w:spacing w:val="5"/>
        </w:rPr>
        <w:t>法定权责边界，从多个维度提出我省新就业形态劳动者权益保障</w:t>
      </w:r>
      <w:r>
        <w:rPr>
          <w:spacing w:val="8"/>
        </w:rPr>
        <w:t>立法思路和具体举措建议。</w:t>
      </w:r>
    </w:p>
    <w:p>
      <w:pPr>
        <w:ind w:left="673"/>
        <w:spacing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（十）产业链供应链视角下劳动关系协同治理机制研究</w:t>
      </w:r>
    </w:p>
    <w:p>
      <w:pPr>
        <w:pStyle w:val="BodyText"/>
        <w:ind w:left="7" w:firstLine="654"/>
        <w:spacing w:before="237" w:line="369" w:lineRule="auto"/>
        <w:rPr/>
      </w:pPr>
      <w:r>
        <w:rPr>
          <w:spacing w:val="4"/>
        </w:rPr>
        <w:t>主要研究内容：深刻把握产业链供应链联动发展趋势，选取</w:t>
      </w:r>
      <w:r>
        <w:rPr>
          <w:spacing w:val="5"/>
        </w:rPr>
        <w:t>省内重点产业方向开展系统研究，分析产业链组织模式、生产方</w:t>
      </w:r>
      <w:r>
        <w:rPr>
          <w:spacing w:val="5"/>
        </w:rPr>
        <w:t>式变革与灵活用工全链条渗透对劳动关系格局的系统性影响，厘</w:t>
      </w:r>
      <w:r>
        <w:rPr>
          <w:spacing w:val="5"/>
        </w:rPr>
        <w:t>清全链条劳动关系的主体构成、权责边界与运行逻辑；实证分析</w:t>
      </w:r>
      <w:r>
        <w:rPr>
          <w:spacing w:val="5"/>
        </w:rPr>
        <w:t>链主企业用工合规、薪酬标准、用工模式对上下游配套企业劳动</w:t>
      </w:r>
      <w:r>
        <w:rPr>
          <w:spacing w:val="7"/>
        </w:rPr>
        <w:t>关系的双向影响，识别产业链劳动关系风险的生成、</w:t>
      </w:r>
      <w:r>
        <w:rPr>
          <w:spacing w:val="6"/>
        </w:rPr>
        <w:t>传导机制，</w:t>
      </w:r>
      <w:r>
        <w:rPr>
          <w:spacing w:val="5"/>
        </w:rPr>
        <w:t>找准协同治理卡点堵点，围绕风险监测、联防联控与权益协同保</w:t>
      </w:r>
      <w:r>
        <w:rPr>
          <w:spacing w:val="8"/>
        </w:rPr>
        <w:t>障等机制提出针对性思路建议。</w:t>
      </w:r>
    </w:p>
    <w:p>
      <w:pPr>
        <w:ind w:right="38" w:firstLine="673"/>
        <w:spacing w:line="374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4"/>
        </w:rPr>
        <w:t>（十一）人工智能对用工形态变革影响及劳动保障制度完善</w:t>
      </w:r>
      <w:r>
        <w:rPr>
          <w:rFonts w:ascii="KaiTi" w:hAnsi="KaiTi" w:eastAsia="KaiTi" w:cs="KaiTi"/>
          <w:sz w:val="31"/>
          <w:szCs w:val="31"/>
          <w:spacing w:val="7"/>
        </w:rPr>
        <w:t>研究</w:t>
      </w:r>
    </w:p>
    <w:p>
      <w:pPr>
        <w:pStyle w:val="BodyText"/>
        <w:ind w:left="2" w:right="38" w:firstLine="659"/>
        <w:spacing w:before="9" w:line="387" w:lineRule="auto"/>
        <w:jc w:val="both"/>
        <w:rPr/>
      </w:pPr>
      <w:r>
        <w:rPr>
          <w:spacing w:val="4"/>
        </w:rPr>
        <w:t>主要研究内容：系统研判人工智能在各类场景的规模化应用</w:t>
      </w:r>
      <w:r>
        <w:rPr>
          <w:spacing w:val="5"/>
        </w:rPr>
        <w:t>对用工形态产生的变革影响，厘清人工智能驱动下用工模式变化</w:t>
      </w:r>
      <w:r>
        <w:rPr>
          <w:spacing w:val="5"/>
        </w:rPr>
        <w:t>特征与中长期发展趋势，剖析用工形态变革对现行劳动保障制度</w:t>
      </w:r>
      <w:r>
        <w:rPr>
          <w:spacing w:val="5"/>
        </w:rPr>
        <w:t>体系带来的系统性挑战、核心痛点及其深层成因。立足我国国情</w:t>
      </w:r>
    </w:p>
    <w:p>
      <w:pPr>
        <w:spacing w:line="387" w:lineRule="auto"/>
        <w:sectPr>
          <w:footerReference w:type="default" r:id="rId4"/>
          <w:pgSz w:w="11907" w:h="16840"/>
          <w:pgMar w:top="1431" w:right="1436" w:bottom="1689" w:left="1591" w:header="0" w:footer="1324" w:gutter="0"/>
        </w:sectPr>
        <w:rPr/>
      </w:pPr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pStyle w:val="BodyText"/>
        <w:ind w:left="26"/>
        <w:spacing w:before="101" w:line="387" w:lineRule="auto"/>
        <w:rPr/>
      </w:pPr>
      <w:r>
        <w:rPr>
          <w:spacing w:val="5"/>
        </w:rPr>
        <w:t>与技术发展规律，兼顾技术创新激励与劳动者</w:t>
      </w:r>
      <w:r>
        <w:rPr>
          <w:spacing w:val="4"/>
        </w:rPr>
        <w:t>权益保护，提出劳</w:t>
      </w:r>
      <w:r>
        <w:rPr>
          <w:spacing w:val="7"/>
        </w:rPr>
        <w:t>动权益保障制度机制的前瞻性完善思路。</w:t>
      </w:r>
    </w:p>
    <w:p>
      <w:pPr>
        <w:ind w:left="672"/>
        <w:spacing w:before="1" w:line="228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8"/>
        </w:rPr>
        <w:t>（十二）深化收入分配制度改革促进劳动增收研究</w:t>
      </w:r>
    </w:p>
    <w:p>
      <w:pPr>
        <w:pStyle w:val="BodyText"/>
        <w:ind w:firstLine="660"/>
        <w:spacing w:before="269" w:line="386" w:lineRule="auto"/>
        <w:rPr/>
      </w:pPr>
      <w:r>
        <w:rPr>
          <w:spacing w:val="4"/>
        </w:rPr>
        <w:t>主要研究内容：深入分析“十五五”时期劳动者增收面临的</w:t>
      </w:r>
      <w:r>
        <w:rPr>
          <w:spacing w:val="5"/>
        </w:rPr>
        <w:t>形势和挑战，着眼鼓励劳动者勤劳创新致富，充分发挥劳动增收</w:t>
      </w:r>
      <w:r>
        <w:rPr>
          <w:spacing w:val="5"/>
        </w:rPr>
        <w:t>主渠道作用，从促进就业、扶持创业、提升技能、推动参保、权</w:t>
      </w:r>
      <w:r>
        <w:rPr>
          <w:spacing w:val="9"/>
        </w:rPr>
        <w:t>益保障等方面提出推动劳动增收的思路和对策建议。</w:t>
      </w:r>
    </w:p>
    <w:p>
      <w:pPr>
        <w:ind w:left="652"/>
        <w:spacing w:before="7" w:line="226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7"/>
        </w:rPr>
        <w:t>二、一般课题</w:t>
      </w:r>
    </w:p>
    <w:p>
      <w:pPr>
        <w:ind w:left="672"/>
        <w:spacing w:before="268" w:line="237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4"/>
        </w:rPr>
        <w:t>（一）就业创业</w:t>
      </w:r>
    </w:p>
    <w:p>
      <w:pPr>
        <w:pStyle w:val="BodyText"/>
        <w:ind w:left="671"/>
        <w:spacing w:before="253" w:line="219" w:lineRule="auto"/>
        <w:rPr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高质量充分就业动态监测指标体系研究</w:t>
      </w:r>
    </w:p>
    <w:p>
      <w:pPr>
        <w:pStyle w:val="BodyText"/>
        <w:ind w:left="641"/>
        <w:spacing w:before="282" w:line="219" w:lineRule="auto"/>
        <w:rPr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构建就业友好型发展方式研究</w:t>
      </w:r>
    </w:p>
    <w:p>
      <w:pPr>
        <w:pStyle w:val="BodyText"/>
        <w:ind w:left="647"/>
        <w:spacing w:before="280" w:line="220" w:lineRule="auto"/>
        <w:rPr/>
      </w:pPr>
      <w:r>
        <w:rPr>
          <w:rFonts w:ascii="Times New Roman" w:hAnsi="Times New Roman" w:eastAsia="Times New Roman" w:cs="Times New Roman"/>
          <w:spacing w:val="8"/>
        </w:rPr>
        <w:t>3.</w:t>
      </w:r>
      <w:r>
        <w:rPr>
          <w:spacing w:val="8"/>
        </w:rPr>
        <w:t>促进低成本创业带动就业研究</w:t>
      </w:r>
    </w:p>
    <w:p>
      <w:pPr>
        <w:pStyle w:val="BodyText"/>
        <w:ind w:left="639"/>
        <w:spacing w:before="284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4.</w:t>
      </w:r>
      <w:r>
        <w:rPr>
          <w:spacing w:val="9"/>
        </w:rPr>
        <w:t>重大工程重大项目就业影响评估机制研究</w:t>
      </w:r>
    </w:p>
    <w:p>
      <w:pPr>
        <w:pStyle w:val="BodyText"/>
        <w:ind w:left="649"/>
        <w:spacing w:before="283" w:line="219" w:lineRule="auto"/>
        <w:rPr/>
      </w:pPr>
      <w:r>
        <w:rPr>
          <w:rFonts w:ascii="Times New Roman" w:hAnsi="Times New Roman" w:eastAsia="Times New Roman" w:cs="Times New Roman"/>
          <w:spacing w:val="8"/>
        </w:rPr>
        <w:t>5.</w:t>
      </w:r>
      <w:r>
        <w:rPr>
          <w:spacing w:val="8"/>
        </w:rPr>
        <w:t>就业导向的技能培训效能提升研究</w:t>
      </w:r>
    </w:p>
    <w:p>
      <w:pPr>
        <w:pStyle w:val="BodyText"/>
        <w:ind w:left="648"/>
        <w:spacing w:before="280" w:line="219" w:lineRule="auto"/>
        <w:rPr/>
      </w:pPr>
      <w:r>
        <w:rPr>
          <w:rFonts w:ascii="Times New Roman" w:hAnsi="Times New Roman" w:eastAsia="Times New Roman" w:cs="Times New Roman"/>
          <w:spacing w:val="8"/>
        </w:rPr>
        <w:t>6.</w:t>
      </w:r>
      <w:r>
        <w:rPr>
          <w:spacing w:val="8"/>
        </w:rPr>
        <w:t>劳务品牌全链条培育机制研究</w:t>
      </w:r>
    </w:p>
    <w:p>
      <w:pPr>
        <w:pStyle w:val="BodyText"/>
        <w:ind w:left="646"/>
        <w:spacing w:before="283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7.</w:t>
      </w:r>
      <w:r>
        <w:rPr>
          <w:spacing w:val="9"/>
        </w:rPr>
        <w:t>就业公共服务高质量发展多元协同与效能评</w:t>
      </w:r>
      <w:r>
        <w:rPr>
          <w:spacing w:val="8"/>
        </w:rPr>
        <w:t>估研究</w:t>
      </w:r>
    </w:p>
    <w:p>
      <w:pPr>
        <w:pStyle w:val="BodyText"/>
        <w:ind w:left="654"/>
        <w:spacing w:before="279" w:line="220" w:lineRule="auto"/>
        <w:rPr/>
      </w:pPr>
      <w:r>
        <w:rPr>
          <w:rFonts w:ascii="Times New Roman" w:hAnsi="Times New Roman" w:eastAsia="Times New Roman" w:cs="Times New Roman"/>
          <w:spacing w:val="8"/>
        </w:rPr>
        <w:t>8.</w:t>
      </w:r>
      <w:r>
        <w:rPr>
          <w:spacing w:val="8"/>
        </w:rPr>
        <w:t>返乡入乡创业支持体系建设与乡村就业带动效应研究</w:t>
      </w:r>
    </w:p>
    <w:p>
      <w:pPr>
        <w:pStyle w:val="BodyText"/>
        <w:ind w:left="647"/>
        <w:spacing w:before="284" w:line="219" w:lineRule="auto"/>
        <w:rPr/>
      </w:pPr>
      <w:r>
        <w:rPr>
          <w:rFonts w:ascii="Times New Roman" w:hAnsi="Times New Roman" w:eastAsia="Times New Roman" w:cs="Times New Roman"/>
          <w:spacing w:val="8"/>
        </w:rPr>
        <w:t>9.</w:t>
      </w:r>
      <w:r>
        <w:rPr>
          <w:spacing w:val="8"/>
        </w:rPr>
        <w:t>青年群体就业稳定性与职业发展路径研究</w:t>
      </w:r>
    </w:p>
    <w:p>
      <w:pPr>
        <w:pStyle w:val="BodyText"/>
        <w:ind w:left="671"/>
        <w:spacing w:before="280" w:line="220" w:lineRule="auto"/>
        <w:rPr/>
      </w:pPr>
      <w:r>
        <w:rPr>
          <w:rFonts w:ascii="Times New Roman" w:hAnsi="Times New Roman" w:eastAsia="Times New Roman" w:cs="Times New Roman"/>
          <w:spacing w:val="7"/>
        </w:rPr>
        <w:t>10.</w:t>
      </w:r>
      <w:r>
        <w:rPr>
          <w:spacing w:val="7"/>
        </w:rPr>
        <w:t>基层就业服务站点能力建设与运行机制创新研究</w:t>
      </w:r>
    </w:p>
    <w:p>
      <w:pPr>
        <w:spacing w:line="220" w:lineRule="auto"/>
        <w:sectPr>
          <w:footerReference w:type="default" r:id="rId5"/>
          <w:pgSz w:w="11907" w:h="16840"/>
          <w:pgMar w:top="1431" w:right="1473" w:bottom="1689" w:left="1592" w:header="0" w:footer="1324" w:gutter="0"/>
        </w:sectPr>
        <w:rPr/>
      </w:pP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667"/>
        <w:spacing w:before="101" w:line="232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4"/>
        </w:rPr>
        <w:t>（二）社会保障</w:t>
      </w:r>
    </w:p>
    <w:p>
      <w:pPr>
        <w:pStyle w:val="BodyText"/>
        <w:ind w:left="31" w:right="2" w:firstLine="635"/>
        <w:spacing w:before="232" w:line="293" w:lineRule="auto"/>
        <w:rPr/>
      </w:pPr>
      <w:r>
        <w:rPr>
          <w:rFonts w:ascii="Times New Roman" w:hAnsi="Times New Roman" w:eastAsia="Times New Roman" w:cs="Times New Roman"/>
          <w:spacing w:val="19"/>
        </w:rPr>
        <w:t>1.</w:t>
      </w:r>
      <w:r>
        <w:rPr>
          <w:spacing w:val="19"/>
        </w:rPr>
        <w:t>新就业形态与灵活就业人员参加企业职工基本养</w:t>
      </w:r>
      <w:r>
        <w:rPr>
          <w:spacing w:val="18"/>
        </w:rPr>
        <w:t>老保险</w:t>
      </w:r>
      <w:r>
        <w:rPr>
          <w:spacing w:val="6"/>
        </w:rPr>
        <w:t>的制度适配与模式创新研究</w:t>
      </w:r>
    </w:p>
    <w:p>
      <w:pPr>
        <w:pStyle w:val="BodyText"/>
        <w:ind w:left="636"/>
        <w:spacing w:before="255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高质量参保扩面的动力机制与路径优化研究</w:t>
      </w:r>
    </w:p>
    <w:p>
      <w:pPr>
        <w:pStyle w:val="BodyText"/>
        <w:ind w:left="642"/>
        <w:spacing w:before="248" w:line="220" w:lineRule="auto"/>
        <w:rPr/>
      </w:pPr>
      <w:r>
        <w:rPr>
          <w:rFonts w:ascii="Times New Roman" w:hAnsi="Times New Roman" w:eastAsia="Times New Roman" w:cs="Times New Roman"/>
          <w:spacing w:val="8"/>
        </w:rPr>
        <w:t>3.</w:t>
      </w:r>
      <w:r>
        <w:rPr>
          <w:spacing w:val="8"/>
        </w:rPr>
        <w:t>养老保险基金精算平衡制度机制创新研究</w:t>
      </w:r>
    </w:p>
    <w:p>
      <w:pPr>
        <w:pStyle w:val="BodyText"/>
        <w:ind w:left="634"/>
        <w:spacing w:before="252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4.</w:t>
      </w:r>
      <w:r>
        <w:rPr>
          <w:spacing w:val="9"/>
        </w:rPr>
        <w:t>养老金待遇调整机制的公平性与可持续性研究</w:t>
      </w:r>
    </w:p>
    <w:p>
      <w:pPr>
        <w:pStyle w:val="BodyText"/>
        <w:ind w:left="644"/>
        <w:spacing w:before="253" w:line="219" w:lineRule="auto"/>
        <w:rPr/>
      </w:pPr>
      <w:r>
        <w:rPr>
          <w:rFonts w:ascii="Times New Roman" w:hAnsi="Times New Roman" w:eastAsia="Times New Roman" w:cs="Times New Roman"/>
          <w:spacing w:val="8"/>
        </w:rPr>
        <w:t>5.</w:t>
      </w:r>
      <w:r>
        <w:rPr>
          <w:spacing w:val="8"/>
        </w:rPr>
        <w:t>城乡居保制度参数优化与长期精算平衡研究</w:t>
      </w:r>
    </w:p>
    <w:p>
      <w:pPr>
        <w:pStyle w:val="BodyText"/>
        <w:ind w:left="643"/>
        <w:spacing w:before="252" w:line="219" w:lineRule="auto"/>
        <w:rPr/>
      </w:pPr>
      <w:r>
        <w:rPr>
          <w:rFonts w:ascii="Times New Roman" w:hAnsi="Times New Roman" w:eastAsia="Times New Roman" w:cs="Times New Roman"/>
          <w:spacing w:val="-9"/>
        </w:rPr>
        <w:t>6.</w:t>
      </w:r>
      <w:r>
        <w:rPr>
          <w:spacing w:val="-9"/>
        </w:rPr>
        <w:t>共同富裕背景下养老金替代率的城乡统筹</w:t>
      </w:r>
      <w:r>
        <w:rPr>
          <w:spacing w:val="-10"/>
        </w:rPr>
        <w:t>与制度公平研究</w:t>
      </w:r>
    </w:p>
    <w:p>
      <w:pPr>
        <w:pStyle w:val="BodyText"/>
        <w:ind w:left="641"/>
        <w:spacing w:before="252" w:line="218" w:lineRule="auto"/>
        <w:rPr/>
      </w:pPr>
      <w:r>
        <w:rPr>
          <w:rFonts w:ascii="Times New Roman" w:hAnsi="Times New Roman" w:eastAsia="Times New Roman" w:cs="Times New Roman"/>
          <w:spacing w:val="9"/>
        </w:rPr>
        <w:t>7.</w:t>
      </w:r>
      <w:r>
        <w:rPr>
          <w:spacing w:val="9"/>
        </w:rPr>
        <w:t>多层次多支柱养老保险体系的协同发展机</w:t>
      </w:r>
      <w:r>
        <w:rPr>
          <w:spacing w:val="8"/>
        </w:rPr>
        <w:t>制研究</w:t>
      </w:r>
    </w:p>
    <w:p>
      <w:pPr>
        <w:pStyle w:val="BodyText"/>
        <w:ind w:left="31" w:firstLine="617"/>
        <w:spacing w:before="256" w:line="294" w:lineRule="auto"/>
        <w:rPr/>
      </w:pPr>
      <w:r>
        <w:rPr>
          <w:rFonts w:ascii="Times New Roman" w:hAnsi="Times New Roman" w:eastAsia="Times New Roman" w:cs="Times New Roman"/>
          <w:spacing w:val="7"/>
        </w:rPr>
        <w:t>8.</w:t>
      </w:r>
      <w:r>
        <w:rPr>
          <w:spacing w:val="7"/>
        </w:rPr>
        <w:t>“预防—康复—补偿”一体化工伤保险服务模式构建与效</w:t>
      </w:r>
      <w:r>
        <w:rPr>
          <w:spacing w:val="1"/>
        </w:rPr>
        <w:t>能评估研究</w:t>
      </w:r>
    </w:p>
    <w:p>
      <w:pPr>
        <w:pStyle w:val="BodyText"/>
        <w:ind w:left="642"/>
        <w:spacing w:before="250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9.</w:t>
      </w:r>
      <w:r>
        <w:rPr>
          <w:spacing w:val="9"/>
        </w:rPr>
        <w:t>新业态劳动者职业伤害保障试点模式的比较与优化研究</w:t>
      </w:r>
    </w:p>
    <w:p>
      <w:pPr>
        <w:pStyle w:val="BodyText"/>
        <w:ind w:left="666"/>
        <w:spacing w:before="253" w:line="220" w:lineRule="auto"/>
        <w:rPr/>
      </w:pPr>
      <w:r>
        <w:rPr>
          <w:rFonts w:ascii="Times New Roman" w:hAnsi="Times New Roman" w:eastAsia="Times New Roman" w:cs="Times New Roman"/>
          <w:spacing w:val="7"/>
        </w:rPr>
        <w:t>10.</w:t>
      </w:r>
      <w:r>
        <w:rPr>
          <w:spacing w:val="7"/>
        </w:rPr>
        <w:t>灵活就业人员参加失业保险制度探索研究</w:t>
      </w:r>
    </w:p>
    <w:p>
      <w:pPr>
        <w:pStyle w:val="BodyText"/>
        <w:ind w:left="666"/>
        <w:spacing w:before="248" w:line="220" w:lineRule="auto"/>
        <w:rPr/>
      </w:pPr>
      <w:r>
        <w:rPr>
          <w:rFonts w:ascii="Times New Roman" w:hAnsi="Times New Roman" w:eastAsia="Times New Roman" w:cs="Times New Roman"/>
          <w:spacing w:val="7"/>
        </w:rPr>
        <w:t>11.</w:t>
      </w:r>
      <w:r>
        <w:rPr>
          <w:spacing w:val="7"/>
        </w:rPr>
        <w:t>数字化转型驱动下的社保经办服务重塑与管理创新研究</w:t>
      </w:r>
    </w:p>
    <w:p>
      <w:pPr>
        <w:pStyle w:val="BodyText"/>
        <w:ind w:left="666"/>
        <w:spacing w:before="252" w:line="219" w:lineRule="auto"/>
        <w:rPr/>
      </w:pPr>
      <w:r>
        <w:rPr>
          <w:rFonts w:ascii="Times New Roman" w:hAnsi="Times New Roman" w:eastAsia="Times New Roman" w:cs="Times New Roman"/>
          <w:spacing w:val="7"/>
        </w:rPr>
        <w:t>12.</w:t>
      </w:r>
      <w:r>
        <w:rPr>
          <w:spacing w:val="7"/>
        </w:rPr>
        <w:t>社会保险领域骗保行为的治理机制与风险防控研究</w:t>
      </w:r>
    </w:p>
    <w:p>
      <w:pPr>
        <w:ind w:left="667"/>
        <w:spacing w:before="253" w:line="230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4"/>
        </w:rPr>
        <w:t>（三）人才人事</w:t>
      </w:r>
    </w:p>
    <w:p>
      <w:pPr>
        <w:pStyle w:val="BodyText"/>
        <w:ind w:left="666"/>
        <w:spacing w:before="234" w:line="219" w:lineRule="auto"/>
        <w:rPr/>
      </w:pPr>
      <w:r>
        <w:rPr>
          <w:rFonts w:ascii="Times New Roman" w:hAnsi="Times New Roman" w:eastAsia="Times New Roman" w:cs="Times New Roman"/>
          <w:spacing w:val="-10"/>
        </w:rPr>
        <w:t>1.</w:t>
      </w:r>
      <w:r>
        <w:rPr>
          <w:spacing w:val="-10"/>
        </w:rPr>
        <w:t>全国统一大市场背景下浙江人力资源服务业提能</w:t>
      </w:r>
      <w:r>
        <w:rPr>
          <w:spacing w:val="-11"/>
        </w:rPr>
        <w:t>升级研究</w:t>
      </w:r>
    </w:p>
    <w:p>
      <w:pPr>
        <w:pStyle w:val="BodyText"/>
        <w:spacing w:before="252" w:line="219" w:lineRule="auto"/>
        <w:jc w:val="right"/>
        <w:rPr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“投资于人”战略的绩效监测体系与市场化引导机制研究</w:t>
      </w:r>
    </w:p>
    <w:p>
      <w:pPr>
        <w:pStyle w:val="BodyText"/>
        <w:ind w:left="642"/>
        <w:spacing w:before="253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3.</w:t>
      </w:r>
      <w:r>
        <w:rPr>
          <w:spacing w:val="9"/>
        </w:rPr>
        <w:t>新质生产力人才的多元评价与协同培养</w:t>
      </w:r>
      <w:r>
        <w:rPr>
          <w:spacing w:val="8"/>
        </w:rPr>
        <w:t>机制研究</w:t>
      </w:r>
    </w:p>
    <w:p>
      <w:pPr>
        <w:pStyle w:val="BodyText"/>
        <w:ind w:left="634"/>
        <w:spacing w:before="252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4.</w:t>
      </w:r>
      <w:r>
        <w:rPr>
          <w:spacing w:val="9"/>
        </w:rPr>
        <w:t>人工智能复合型实践型人才培育路径研究</w:t>
      </w:r>
    </w:p>
    <w:p>
      <w:pPr>
        <w:spacing w:line="219" w:lineRule="auto"/>
        <w:sectPr>
          <w:footerReference w:type="default" r:id="rId6"/>
          <w:pgSz w:w="11907" w:h="16840"/>
          <w:pgMar w:top="1431" w:right="1474" w:bottom="1689" w:left="1597" w:header="0" w:footer="1324" w:gutter="0"/>
        </w:sectPr>
        <w:rPr/>
      </w:pPr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pStyle w:val="BodyText"/>
        <w:ind w:left="649"/>
        <w:spacing w:before="101" w:line="220" w:lineRule="auto"/>
        <w:rPr/>
      </w:pPr>
      <w:r>
        <w:rPr>
          <w:rFonts w:ascii="Times New Roman" w:hAnsi="Times New Roman" w:eastAsia="Times New Roman" w:cs="Times New Roman"/>
          <w:spacing w:val="8"/>
        </w:rPr>
        <w:t>5.</w:t>
      </w:r>
      <w:r>
        <w:rPr>
          <w:spacing w:val="8"/>
        </w:rPr>
        <w:t>高层次人才创新创业服务生态集成改革研究</w:t>
      </w:r>
    </w:p>
    <w:p>
      <w:pPr>
        <w:pStyle w:val="BodyText"/>
        <w:ind w:left="2" w:firstLine="645"/>
        <w:spacing w:before="252" w:line="294" w:lineRule="auto"/>
        <w:rPr/>
      </w:pPr>
      <w:r>
        <w:rPr>
          <w:rFonts w:ascii="Times New Roman" w:hAnsi="Times New Roman" w:eastAsia="Times New Roman" w:cs="Times New Roman"/>
          <w:spacing w:val="8"/>
        </w:rPr>
        <w:t>6.</w:t>
      </w:r>
      <w:r>
        <w:rPr>
          <w:spacing w:val="8"/>
        </w:rPr>
        <w:t>“人才—产业—空间”深度融合导向下</w:t>
      </w:r>
      <w:r>
        <w:rPr>
          <w:spacing w:val="7"/>
        </w:rPr>
        <w:t>的人才需求预测与</w:t>
      </w:r>
      <w:r>
        <w:rPr>
          <w:spacing w:val="8"/>
        </w:rPr>
        <w:t>供给体系研究</w:t>
      </w:r>
    </w:p>
    <w:p>
      <w:pPr>
        <w:pStyle w:val="BodyText"/>
        <w:ind w:left="646"/>
        <w:spacing w:before="253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7.</w:t>
      </w:r>
      <w:r>
        <w:rPr>
          <w:spacing w:val="9"/>
        </w:rPr>
        <w:t>统一规范人力资源大市场的建设标准与运行机</w:t>
      </w:r>
      <w:r>
        <w:rPr>
          <w:spacing w:val="8"/>
        </w:rPr>
        <w:t>制研究</w:t>
      </w:r>
    </w:p>
    <w:p>
      <w:pPr>
        <w:pStyle w:val="BodyText"/>
        <w:ind w:left="18" w:right="3" w:firstLine="635"/>
        <w:spacing w:before="252" w:line="294" w:lineRule="auto"/>
        <w:rPr/>
      </w:pPr>
      <w:r>
        <w:rPr>
          <w:rFonts w:ascii="Times New Roman" w:hAnsi="Times New Roman" w:eastAsia="Times New Roman" w:cs="Times New Roman"/>
          <w:spacing w:val="19"/>
        </w:rPr>
        <w:t>8.</w:t>
      </w:r>
      <w:r>
        <w:rPr>
          <w:spacing w:val="19"/>
        </w:rPr>
        <w:t>技能人才与专业技术人才职业发展贯通的政策体系与实</w:t>
      </w:r>
      <w:r>
        <w:rPr>
          <w:spacing w:val="5"/>
        </w:rPr>
        <w:t>践路径研究</w:t>
      </w:r>
    </w:p>
    <w:p>
      <w:pPr>
        <w:pStyle w:val="BodyText"/>
        <w:ind w:left="647"/>
        <w:spacing w:before="252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9.</w:t>
      </w:r>
      <w:r>
        <w:rPr>
          <w:spacing w:val="9"/>
        </w:rPr>
        <w:t>“银发人才”资源开发与“银发经济”适</w:t>
      </w:r>
      <w:r>
        <w:rPr>
          <w:spacing w:val="8"/>
        </w:rPr>
        <w:t>配性研究</w:t>
      </w:r>
    </w:p>
    <w:p>
      <w:pPr>
        <w:pStyle w:val="BodyText"/>
        <w:ind w:left="671"/>
        <w:spacing w:before="248" w:line="220" w:lineRule="auto"/>
        <w:rPr/>
      </w:pPr>
      <w:r>
        <w:rPr>
          <w:rFonts w:ascii="Times New Roman" w:hAnsi="Times New Roman" w:eastAsia="Times New Roman" w:cs="Times New Roman"/>
          <w:spacing w:val="7"/>
        </w:rPr>
        <w:t>10.</w:t>
      </w:r>
      <w:r>
        <w:rPr>
          <w:spacing w:val="7"/>
        </w:rPr>
        <w:t>新质生产力背景下博士后培养模式创新改革研究</w:t>
      </w:r>
    </w:p>
    <w:p>
      <w:pPr>
        <w:pStyle w:val="BodyText"/>
        <w:ind w:left="671"/>
        <w:spacing w:before="253" w:line="219" w:lineRule="auto"/>
        <w:rPr/>
      </w:pPr>
      <w:r>
        <w:rPr>
          <w:rFonts w:ascii="Times New Roman" w:hAnsi="Times New Roman" w:eastAsia="Times New Roman" w:cs="Times New Roman"/>
          <w:spacing w:val="7"/>
        </w:rPr>
        <w:t>11.</w:t>
      </w:r>
      <w:r>
        <w:rPr>
          <w:spacing w:val="7"/>
        </w:rPr>
        <w:t>人力资源服务产业园区（集群）的能级提升路径研究</w:t>
      </w:r>
    </w:p>
    <w:p>
      <w:pPr>
        <w:pStyle w:val="BodyText"/>
        <w:ind w:left="671"/>
        <w:spacing w:before="254" w:line="218" w:lineRule="auto"/>
        <w:rPr/>
      </w:pPr>
      <w:r>
        <w:rPr>
          <w:rFonts w:ascii="Times New Roman" w:hAnsi="Times New Roman" w:eastAsia="Times New Roman" w:cs="Times New Roman"/>
          <w:spacing w:val="7"/>
        </w:rPr>
        <w:t>12.</w:t>
      </w:r>
      <w:r>
        <w:rPr>
          <w:spacing w:val="7"/>
        </w:rPr>
        <w:t>人力资源服务业跨境服务的路径研究</w:t>
      </w:r>
    </w:p>
    <w:p>
      <w:pPr>
        <w:ind w:left="670"/>
        <w:spacing w:before="251" w:line="229" w:lineRule="auto"/>
        <w:rPr>
          <w:rFonts w:ascii="KaiTi" w:hAnsi="KaiTi" w:eastAsia="KaiTi" w:cs="KaiTi"/>
          <w:sz w:val="31"/>
          <w:szCs w:val="31"/>
        </w:rPr>
      </w:pPr>
      <w:r>
        <w:rPr>
          <w:rFonts w:ascii="KaiTi" w:hAnsi="KaiTi" w:eastAsia="KaiTi" w:cs="KaiTi"/>
          <w:sz w:val="31"/>
          <w:szCs w:val="31"/>
          <w:spacing w:val="4"/>
        </w:rPr>
        <w:t>（四）劳动关系</w:t>
      </w:r>
    </w:p>
    <w:p>
      <w:pPr>
        <w:pStyle w:val="BodyText"/>
        <w:ind w:left="671"/>
        <w:spacing w:before="237" w:line="218" w:lineRule="auto"/>
        <w:rPr/>
      </w:pPr>
      <w:r>
        <w:rPr>
          <w:rFonts w:ascii="Times New Roman" w:hAnsi="Times New Roman" w:eastAsia="Times New Roman" w:cs="Times New Roman"/>
          <w:spacing w:val="8"/>
        </w:rPr>
        <w:t>1.</w:t>
      </w:r>
      <w:r>
        <w:rPr>
          <w:spacing w:val="8"/>
        </w:rPr>
        <w:t>新就业形态劳动者权益保障的分类分层治理体</w:t>
      </w:r>
      <w:r>
        <w:rPr>
          <w:spacing w:val="7"/>
        </w:rPr>
        <w:t>系研究</w:t>
      </w:r>
    </w:p>
    <w:p>
      <w:pPr>
        <w:pStyle w:val="BodyText"/>
        <w:ind w:left="641"/>
        <w:spacing w:before="255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和谐劳动关系指数体系构建与综合应用研究</w:t>
      </w:r>
    </w:p>
    <w:p>
      <w:pPr>
        <w:pStyle w:val="BodyText"/>
        <w:ind w:left="26" w:firstLine="621"/>
        <w:spacing w:before="251" w:line="294" w:lineRule="auto"/>
        <w:rPr/>
      </w:pPr>
      <w:r>
        <w:rPr>
          <w:rFonts w:ascii="Times New Roman" w:hAnsi="Times New Roman" w:eastAsia="Times New Roman" w:cs="Times New Roman"/>
          <w:spacing w:val="8"/>
        </w:rPr>
        <w:t>3.</w:t>
      </w:r>
      <w:r>
        <w:rPr>
          <w:spacing w:val="8"/>
        </w:rPr>
        <w:t>超龄劳动者、非全日制劳动者等特殊群</w:t>
      </w:r>
      <w:r>
        <w:rPr>
          <w:spacing w:val="7"/>
        </w:rPr>
        <w:t>体的劳动权益保障</w:t>
      </w:r>
      <w:r>
        <w:rPr>
          <w:spacing w:val="6"/>
        </w:rPr>
        <w:t>与用工管理优化研究</w:t>
      </w:r>
    </w:p>
    <w:p>
      <w:pPr>
        <w:pStyle w:val="BodyText"/>
        <w:ind w:right="2" w:firstLine="639"/>
        <w:spacing w:before="255" w:line="294" w:lineRule="auto"/>
        <w:rPr/>
      </w:pPr>
      <w:r>
        <w:rPr>
          <w:rFonts w:ascii="Times New Roman" w:hAnsi="Times New Roman" w:eastAsia="Times New Roman" w:cs="Times New Roman"/>
          <w:spacing w:val="8"/>
        </w:rPr>
        <w:t>4.</w:t>
      </w:r>
      <w:r>
        <w:rPr>
          <w:spacing w:val="8"/>
        </w:rPr>
        <w:t>小微企业劳动事务社会化管理（托管）服务的模式与</w:t>
      </w:r>
      <w:r>
        <w:rPr>
          <w:spacing w:val="7"/>
        </w:rPr>
        <w:t>规范</w:t>
      </w:r>
      <w:r>
        <w:rPr>
          <w:spacing w:val="7"/>
        </w:rPr>
        <w:t>研究</w:t>
      </w:r>
    </w:p>
    <w:p>
      <w:pPr>
        <w:pStyle w:val="BodyText"/>
        <w:ind w:right="3" w:firstLine="649"/>
        <w:spacing w:before="250" w:line="295" w:lineRule="auto"/>
        <w:rPr/>
      </w:pPr>
      <w:r>
        <w:rPr>
          <w:rFonts w:ascii="Times New Roman" w:hAnsi="Times New Roman" w:eastAsia="Times New Roman" w:cs="Times New Roman"/>
          <w:spacing w:val="20"/>
        </w:rPr>
        <w:t>5.</w:t>
      </w:r>
      <w:r>
        <w:rPr>
          <w:spacing w:val="20"/>
        </w:rPr>
        <w:t>人工智能发展对劳动力市场薪酬结构的</w:t>
      </w:r>
      <w:r>
        <w:rPr>
          <w:spacing w:val="19"/>
        </w:rPr>
        <w:t>影响与调整机制</w:t>
      </w:r>
      <w:r>
        <w:rPr>
          <w:spacing w:val="7"/>
        </w:rPr>
        <w:t>研究</w:t>
      </w:r>
    </w:p>
    <w:p>
      <w:pPr>
        <w:pStyle w:val="BodyText"/>
        <w:ind w:left="648"/>
        <w:spacing w:before="250" w:line="219" w:lineRule="auto"/>
        <w:rPr/>
      </w:pPr>
      <w:r>
        <w:rPr>
          <w:rFonts w:ascii="Times New Roman" w:hAnsi="Times New Roman" w:eastAsia="Times New Roman" w:cs="Times New Roman"/>
          <w:spacing w:val="8"/>
        </w:rPr>
        <w:t>6.</w:t>
      </w:r>
      <w:r>
        <w:rPr>
          <w:spacing w:val="8"/>
        </w:rPr>
        <w:t>平台用工算法治理优化机制研究</w:t>
      </w:r>
    </w:p>
    <w:p>
      <w:pPr>
        <w:spacing w:line="219" w:lineRule="auto"/>
        <w:sectPr>
          <w:footerReference w:type="default" r:id="rId7"/>
          <w:pgSz w:w="11907" w:h="16840"/>
          <w:pgMar w:top="1431" w:right="1473" w:bottom="1689" w:left="1592" w:header="0" w:footer="1322" w:gutter="0"/>
        </w:sectPr>
        <w:rPr/>
      </w:pP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641"/>
        <w:spacing w:before="101" w:line="219" w:lineRule="auto"/>
        <w:rPr/>
      </w:pPr>
      <w:r>
        <w:rPr>
          <w:rFonts w:ascii="Times New Roman" w:hAnsi="Times New Roman" w:eastAsia="Times New Roman" w:cs="Times New Roman"/>
          <w:spacing w:val="9"/>
        </w:rPr>
        <w:t>7.</w:t>
      </w:r>
      <w:r>
        <w:rPr>
          <w:spacing w:val="9"/>
        </w:rPr>
        <w:t>多元劳动争议解决机制的效率评估与流程优</w:t>
      </w:r>
      <w:r>
        <w:rPr>
          <w:spacing w:val="8"/>
        </w:rPr>
        <w:t>化研究</w:t>
      </w:r>
    </w:p>
    <w:p>
      <w:pPr>
        <w:pStyle w:val="BodyText"/>
        <w:spacing w:before="251" w:line="219" w:lineRule="auto"/>
        <w:jc w:val="right"/>
        <w:rPr/>
      </w:pPr>
      <w:r>
        <w:rPr>
          <w:rFonts w:ascii="Times New Roman" w:hAnsi="Times New Roman" w:eastAsia="Times New Roman" w:cs="Times New Roman"/>
          <w:spacing w:val="8"/>
        </w:rPr>
        <w:t>8.</w:t>
      </w:r>
      <w:r>
        <w:rPr>
          <w:spacing w:val="8"/>
        </w:rPr>
        <w:t>集体协商制度在新业态和中小企业中的拓展与应用研究</w:t>
      </w:r>
    </w:p>
    <w:p>
      <w:pPr>
        <w:pStyle w:val="BodyText"/>
        <w:ind w:left="642"/>
        <w:spacing w:before="251" w:line="219" w:lineRule="auto"/>
        <w:rPr/>
      </w:pPr>
      <w:r>
        <w:rPr>
          <w:rFonts w:ascii="Times New Roman" w:hAnsi="Times New Roman" w:eastAsia="Times New Roman" w:cs="Times New Roman"/>
          <w:spacing w:val="8"/>
        </w:rPr>
        <w:t>9.</w:t>
      </w:r>
      <w:r>
        <w:rPr>
          <w:spacing w:val="8"/>
        </w:rPr>
        <w:t>劳动纠纷源头治理和多元化解机制优化研究</w:t>
      </w:r>
    </w:p>
    <w:p>
      <w:pPr>
        <w:pStyle w:val="BodyText"/>
        <w:ind w:left="666"/>
        <w:spacing w:before="253" w:line="219" w:lineRule="auto"/>
        <w:rPr/>
      </w:pPr>
      <w:r>
        <w:rPr>
          <w:rFonts w:ascii="Times New Roman" w:hAnsi="Times New Roman" w:eastAsia="Times New Roman" w:cs="Times New Roman"/>
          <w:spacing w:val="7"/>
        </w:rPr>
        <w:t>10.</w:t>
      </w:r>
      <w:r>
        <w:rPr>
          <w:spacing w:val="7"/>
        </w:rPr>
        <w:t>技能人才薪酬分配指引的实施效果与扩展应用研究</w:t>
      </w:r>
    </w:p>
    <w:p>
      <w:pPr>
        <w:pStyle w:val="BodyText"/>
        <w:ind w:left="666"/>
        <w:spacing w:before="250" w:line="220" w:lineRule="auto"/>
        <w:rPr/>
      </w:pPr>
      <w:r>
        <w:rPr>
          <w:rFonts w:ascii="Times New Roman" w:hAnsi="Times New Roman" w:eastAsia="Times New Roman" w:cs="Times New Roman"/>
          <w:spacing w:val="5"/>
        </w:rPr>
        <w:t>11.</w:t>
      </w:r>
      <w:r>
        <w:rPr>
          <w:spacing w:val="5"/>
        </w:rPr>
        <w:t>技能人才最低工资制度研究</w:t>
      </w:r>
    </w:p>
    <w:p>
      <w:pPr>
        <w:pStyle w:val="BodyText"/>
        <w:ind w:left="666"/>
        <w:spacing w:before="251" w:line="219" w:lineRule="auto"/>
        <w:rPr/>
      </w:pPr>
      <w:r>
        <w:rPr>
          <w:rFonts w:ascii="Times New Roman" w:hAnsi="Times New Roman" w:eastAsia="Times New Roman" w:cs="Times New Roman"/>
          <w:spacing w:val="7"/>
        </w:rPr>
        <w:t>12.</w:t>
      </w:r>
      <w:r>
        <w:rPr>
          <w:spacing w:val="7"/>
        </w:rPr>
        <w:t>人力资源社会保障基层现代化治理效能提升研究</w:t>
      </w:r>
    </w:p>
    <w:sectPr>
      <w:footerReference w:type="default" r:id="rId8"/>
      <w:pgSz w:w="11907" w:h="16840"/>
      <w:pgMar w:top="1431" w:right="1760" w:bottom="1689" w:left="1597" w:header="0" w:footer="132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ZXiaoBiaoSong-B05S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37"/>
      <w:spacing w:line="233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8"/>
      </w:rPr>
      <w:t>—</w:t>
    </w:r>
    <w:r>
      <w:rPr>
        <w:rFonts w:ascii="SimSun" w:hAnsi="SimSun" w:eastAsia="SimSun" w:cs="SimSu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5</w:t>
    </w:r>
    <w:r>
      <w:rPr>
        <w:rFonts w:ascii="SimSun" w:hAnsi="SimSun" w:eastAsia="SimSun" w:cs="SimSun"/>
        <w:sz w:val="28"/>
        <w:szCs w:val="28"/>
        <w:spacing w:val="6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7"/>
      </w:rPr>
      <w:t>—</w:t>
    </w:r>
    <w:r>
      <w:rPr>
        <w:rFonts w:ascii="SimSun" w:hAnsi="SimSun" w:eastAsia="SimSun" w:cs="SimSun"/>
        <w:sz w:val="28"/>
        <w:szCs w:val="28"/>
        <w:spacing w:val="12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6</w:t>
    </w:r>
    <w:r>
      <w:rPr>
        <w:rFonts w:ascii="SimSun" w:hAnsi="SimSun" w:eastAsia="SimSun" w:cs="SimSun"/>
        <w:sz w:val="28"/>
        <w:szCs w:val="28"/>
        <w:spacing w:val="6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right="43"/>
      <w:spacing w:line="233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9"/>
      </w:rPr>
      <w:t>—</w:t>
    </w:r>
    <w:r>
      <w:rPr>
        <w:rFonts w:ascii="SimSun" w:hAnsi="SimSun" w:eastAsia="SimSun" w:cs="SimSun"/>
        <w:sz w:val="28"/>
        <w:szCs w:val="28"/>
        <w:spacing w:val="17"/>
      </w:rPr>
      <w:t xml:space="preserve"> </w:t>
    </w:r>
    <w:r>
      <w:rPr>
        <w:rFonts w:ascii="SimSun" w:hAnsi="SimSun" w:eastAsia="SimSun" w:cs="SimSun"/>
        <w:sz w:val="28"/>
        <w:szCs w:val="28"/>
        <w:spacing w:val="-9"/>
      </w:rPr>
      <w:t>7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9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6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7"/>
      </w:rPr>
      <w:t>—</w:t>
    </w:r>
    <w:r>
      <w:rPr>
        <w:rFonts w:ascii="SimSun" w:hAnsi="SimSun" w:eastAsia="SimSun" w:cs="SimSu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8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3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1"/>
      </w:rPr>
      <w:t>—</w:t>
    </w:r>
    <w:r>
      <w:rPr>
        <w:rFonts w:ascii="SimSun" w:hAnsi="SimSun" w:eastAsia="SimSun" w:cs="SimSun"/>
        <w:sz w:val="28"/>
        <w:szCs w:val="28"/>
        <w:spacing w:val="13"/>
      </w:rPr>
      <w:t xml:space="preserve"> </w:t>
    </w:r>
    <w:r>
      <w:rPr>
        <w:rFonts w:ascii="SimSun" w:hAnsi="SimSun" w:eastAsia="SimSun" w:cs="SimSun"/>
        <w:sz w:val="28"/>
        <w:szCs w:val="28"/>
        <w:spacing w:val="-11"/>
      </w:rPr>
      <w:t>9</w:t>
    </w:r>
    <w:r>
      <w:rPr>
        <w:rFonts w:ascii="SimSun" w:hAnsi="SimSun" w:eastAsia="SimSun" w:cs="SimSun"/>
        <w:sz w:val="28"/>
        <w:szCs w:val="28"/>
        <w:spacing w:val="6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0"/>
      </w:rPr>
      <w:t>—</w:t>
    </w:r>
    <w:r>
      <w:rPr>
        <w:rFonts w:ascii="SimSun" w:hAnsi="SimSun" w:eastAsia="SimSun" w:cs="SimSun"/>
        <w:sz w:val="28"/>
        <w:szCs w:val="28"/>
        <w:spacing w:val="30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10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5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4"/>
      </w:rPr>
      <w:t>—</w:t>
    </w:r>
    <w:r>
      <w:rPr>
        <w:rFonts w:ascii="SimSun" w:hAnsi="SimSun" w:eastAsia="SimSun" w:cs="SimSun"/>
        <w:sz w:val="28"/>
        <w:szCs w:val="28"/>
        <w:spacing w:val="32"/>
      </w:rPr>
      <w:t xml:space="preserve"> </w:t>
    </w:r>
    <w:r>
      <w:rPr>
        <w:rFonts w:ascii="SimSun" w:hAnsi="SimSun" w:eastAsia="SimSun" w:cs="SimSun"/>
        <w:sz w:val="28"/>
        <w:szCs w:val="28"/>
        <w:spacing w:val="-13"/>
      </w:rPr>
      <w:t>11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—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10"/>
      </w:rPr>
      <w:t>—</w:t>
    </w:r>
    <w:r>
      <w:rPr>
        <w:rFonts w:ascii="SimSun" w:hAnsi="SimSun" w:eastAsia="SimSun" w:cs="SimSun"/>
        <w:sz w:val="28"/>
        <w:szCs w:val="28"/>
        <w:spacing w:val="30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12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10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angSong_GB2312" w:hAnsi="FangSong_GB2312" w:eastAsia="FangSong_GB2312" w:cs="FangSong_GB231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1" Type="http://schemas.openxmlformats.org/officeDocument/2006/relationships/fontTable" Target="fontTable.xml"/><Relationship Id="rId10" Type="http://schemas.openxmlformats.org/officeDocument/2006/relationships/styles" Target="styles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厅巡察工作领导小组：</dc:title>
  <dc:creator>user</dc:creator>
  <dcterms:created xsi:type="dcterms:W3CDTF">2026-03-20T13:55:45Z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2026-03-20T13:56:31</vt:filetime>
  </property>
</Properties>
</file>