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黑体" w:hAnsi="黑体" w:eastAsia="黑体" w:cs="黑体"/>
          <w:color w:val="000000"/>
          <w:sz w:val="32"/>
          <w:szCs w:val="32"/>
        </w:rPr>
        <w:t>浙江广厦建设职业技术大学</w:t>
      </w:r>
    </w:p>
    <w:p w14:paraId="1FE19535">
      <w:pPr>
        <w:pStyle w:val="7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0"/>
          <w:szCs w:val="30"/>
        </w:rPr>
        <w:t>服务采购  询价函</w:t>
      </w:r>
    </w:p>
    <w:p w14:paraId="4B067354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根据学校采购管理要求，现对“WAF设备维保、规则库更新”进行询价，欢迎具备相应能力的供应商参与，具体采购需求详见附件。</w:t>
      </w:r>
    </w:p>
    <w:p w14:paraId="363D0C05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一、项目基本情况</w:t>
      </w:r>
    </w:p>
    <w:tbl>
      <w:tblPr>
        <w:tblStyle w:val="17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5295"/>
        <w:gridCol w:w="1470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52483F4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172ECD6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工作内容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E0B5D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最高限价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2FBAF3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073208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WAF设备维保及规则库更新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EC6CAF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奇安信·网神W10000-U05SM硬件维保及规则库更新各1年（详见采购方案）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7DEEE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4.075万元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A65C24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1年</w:t>
            </w:r>
          </w:p>
        </w:tc>
      </w:tr>
    </w:tbl>
    <w:p w14:paraId="2F4A5811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二、资质要求</w:t>
      </w:r>
    </w:p>
    <w:p w14:paraId="513E4E6F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具备现有WAF设备维保和安全规则库更新授权的服务能力，并提供以下资料（加盖公章）：</w:t>
      </w:r>
    </w:p>
    <w:p w14:paraId="0F738762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（1）公司情况简介及相关服务能力说明。</w:t>
      </w:r>
    </w:p>
    <w:p w14:paraId="3B895021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（2）营业执照复印件。</w:t>
      </w:r>
    </w:p>
    <w:p w14:paraId="0AB8F7F8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（3）报价书（见附件）。</w:t>
      </w:r>
    </w:p>
    <w:p w14:paraId="12CC11CF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（4）能够履行原厂维保及规则更新授权的相关证明材料。</w:t>
      </w:r>
    </w:p>
    <w:p w14:paraId="433119DE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三、报价方式</w:t>
      </w:r>
    </w:p>
    <w:p w14:paraId="26BB477B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如报价前有疑问，可来电咨询。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请于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2026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11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4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日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8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时</w:t>
      </w:r>
      <w:bookmarkStart w:id="0" w:name="_GoBack"/>
      <w:bookmarkEnd w:id="0"/>
      <w:r>
        <w:rPr>
          <w:rFonts w:ascii="宋体" w:hAnsi="宋体" w:eastAsia="宋体" w:cs="宋体"/>
          <w:color w:val="000000"/>
          <w:sz w:val="28"/>
          <w:szCs w:val="28"/>
        </w:rPr>
        <w:t>前，将最终含税报价书（须明确总价）及相关证明材料递交至浙江省东阳市广福东街1号浙江广厦建设职业技术大学数字信息中心，倪航涛收，15250301317。</w:t>
      </w:r>
    </w:p>
    <w:p w14:paraId="05F68636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四、项目联系人及联系方式</w:t>
      </w:r>
    </w:p>
    <w:p w14:paraId="625FEE2D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联系人：倪航涛    电话：0579-86668876</w:t>
      </w:r>
    </w:p>
    <w:p w14:paraId="1991C1B8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邮件：xxzx@zjgsdx.edu.cn</w:t>
      </w:r>
    </w:p>
    <w:p w14:paraId="282FBB93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浙江广厦建设职业技术大学</w:t>
      </w:r>
    </w:p>
    <w:p w14:paraId="065DE8F8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2026年10月27日</w:t>
      </w:r>
    </w:p>
    <w:p w14:paraId="3406072F">
      <w:pPr>
        <w:spacing w:before="0" w:after="0" w:line="20" w:lineRule="exact"/>
      </w:pPr>
      <w:r>
        <w:br w:type="page"/>
      </w:r>
    </w:p>
    <w:p w14:paraId="1824B59D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附件一</w:t>
      </w:r>
    </w:p>
    <w:p w14:paraId="68C58E22">
      <w:pPr>
        <w:pStyle w:val="14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2"/>
          <w:szCs w:val="32"/>
        </w:rPr>
        <w:t>WAF设备维保及规则库更新报价表</w:t>
      </w:r>
    </w:p>
    <w:tbl>
      <w:tblPr>
        <w:tblStyle w:val="17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1434"/>
        <w:gridCol w:w="1741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B84F76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3210A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E90E92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报价（元）</w:t>
            </w: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0710AB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D8B0A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9C44299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WAF硬件维保服务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7314EA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FA06C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1年</w:t>
            </w:r>
          </w:p>
        </w:tc>
      </w:tr>
      <w:tr w14:paraId="0680F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27E5EB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2DD33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WAF安全规则库更新授权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6E159E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09C7F2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1年</w:t>
            </w: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restart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3C4C5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合计金额（元）</w:t>
            </w: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915FDF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小写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1EBC1F8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continue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98D8F0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3FEEBF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大写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8235FE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</w:tbl>
    <w:p w14:paraId="346FDAD9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询价须知</w:t>
      </w:r>
    </w:p>
    <w:p w14:paraId="53982C51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1.合计报价上限为40750元（人民币肆万零柒佰伍拾元整）。</w:t>
      </w:r>
    </w:p>
    <w:p w14:paraId="751DE339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2.报价为完成附件采购范围的一次性完整含税报价，包含产品或授权、实施调试、接口配合、培训及约定服务等相关费用。请列明分项报价及服务边界。</w:t>
      </w:r>
    </w:p>
    <w:p w14:paraId="27F5CB97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3.报价表、合计金额及供应商信息由报价单位填写，并加盖公章。</w:t>
      </w:r>
    </w:p>
    <w:p w14:paraId="13241655">
      <w:pPr>
        <w:spacing w:before="0" w:after="0" w:line="640" w:lineRule="exact"/>
      </w:pPr>
    </w:p>
    <w:p w14:paraId="241EBA29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报价单位（盖章）：________________</w:t>
      </w:r>
    </w:p>
    <w:p w14:paraId="1AC55F0E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联系人及号码：____________________</w:t>
      </w:r>
    </w:p>
    <w:p w14:paraId="5A90DEE2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报价日期：____年__月__日</w:t>
      </w:r>
    </w:p>
    <w:p w14:paraId="5437AB09">
      <w:pPr>
        <w:spacing w:before="0" w:after="0" w:line="20" w:lineRule="exact"/>
      </w:pPr>
      <w:r>
        <w:br w:type="page"/>
      </w:r>
    </w:p>
    <w:p w14:paraId="52F2BD51">
      <w:pPr>
        <w:pStyle w:val="7"/>
        <w:keepNext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before="80" w:beforeAutospacing="0" w:after="80" w:afterAutospacing="1" w:line="360" w:lineRule="auto"/>
        <w:ind w:left="0" w:leftChars="0" w:right="0" w:rightChars="0" w:firstLine="0" w:firstLineChars="0"/>
        <w:jc w:val="center"/>
        <w:textAlignment w:val="auto"/>
      </w:pPr>
      <w:r>
        <w:rPr>
          <w:rFonts w:ascii="宋体" w:hAnsi="宋体" w:eastAsia="宋体" w:cs="宋体"/>
          <w:b/>
          <w:bCs/>
          <w:color w:val="000000"/>
          <w:sz w:val="48"/>
          <w:szCs w:val="48"/>
        </w:rPr>
        <w:t>WAF设备维保及规则库更新</w:t>
      </w:r>
    </w:p>
    <w:p w14:paraId="44DB6E33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6"/>
          <w:szCs w:val="36"/>
        </w:rPr>
        <w:t>采购方案</w:t>
      </w:r>
    </w:p>
    <w:p w14:paraId="311F6395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一、项目基本情况</w:t>
      </w:r>
    </w:p>
    <w:p w14:paraId="684975B9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采购单位：浙江广厦建设职业技术大学。</w:t>
      </w:r>
    </w:p>
    <w:p w14:paraId="4C4DFFF7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项目名称：WAF设备维保、规则库更新。</w:t>
      </w:r>
    </w:p>
    <w:p w14:paraId="7825E773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现有WAF安全规则库更新授权及硬件维保服务已到期，为保障学校Web应用防护及设备故障处置能力，采购1年规则库更新授权与1年硬件维保，服务包含规则持续更新、7×24小时技术支持、故障处置及备件更换。</w:t>
      </w:r>
    </w:p>
    <w:p w14:paraId="2D2FFFF2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采购范围及数量：现有WAF设备硬件维保及安全规则库更新授权各1年，合计最高限价40750元。设备品牌：奇安信·网神；设备型号：W10000-U05SM；设备序列号：________。</w:t>
      </w:r>
    </w:p>
    <w:p w14:paraId="5EF36517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二、技术与服务要求</w:t>
      </w:r>
    </w:p>
    <w:tbl>
      <w:tblPr>
        <w:tblStyle w:val="8"/>
        <w:tblW w:w="828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5487"/>
      </w:tblGrid>
      <w:tr w14:paraId="26D3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C4D39D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指标项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7AD0F5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规格及服务要求</w:t>
            </w:r>
          </w:p>
        </w:tc>
      </w:tr>
      <w:tr w14:paraId="6B16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24B28A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服务对象确认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A622EF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服务对象为学校现有奇安信·网神WAF设备，型号W10000-U05SM。报价前核对序列号、部署和授权状态，说明维保覆盖设备及规则库产品，保障服务与在用设备、版本匹配。</w:t>
            </w:r>
          </w:p>
        </w:tc>
      </w:tr>
      <w:tr w14:paraId="493E4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9C7E10F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硬件维保1年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90CB20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提供1年硬件维保，包含故障诊断、技术处置、必要的备件更换及相关服务，说明报修、现场配合、备件及恢复安排。</w:t>
            </w:r>
          </w:p>
        </w:tc>
      </w:tr>
      <w:tr w14:paraId="0F77A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A6F56FF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规则更新授权1年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88958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提供1年WAF安全规则库更新授权，持续获取与现有产品兼容的安全特征和防护规则更新，协助确认更新状态和防护策略生效情况。</w:t>
            </w:r>
          </w:p>
        </w:tc>
      </w:tr>
      <w:tr w14:paraId="7A312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86A71F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7×24技术支持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F45264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提供7×24小时技术支持、故障受理和处置，明确服务联系人、报修渠道、升级协调和应急处理机制。</w:t>
            </w:r>
          </w:p>
        </w:tc>
      </w:tr>
      <w:tr w14:paraId="3E8DA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5850FD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更新与业务保障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97A751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规则及设备操作须经学校授权，更新前确认配置并做好必要备份，支持异常排查及回退配合，减少对正常Web业务的影响。</w:t>
            </w:r>
          </w:p>
        </w:tc>
      </w:tr>
      <w:tr w14:paraId="27DA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BD534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服务凭证及验收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85C15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提供原厂维保和规则更新授权或有效服务证明，明确各项服务起止日期，移交激活、更新核验及故障处理记录，配合学校验收。</w:t>
            </w:r>
          </w:p>
        </w:tc>
      </w:tr>
    </w:tbl>
    <w:p w14:paraId="43F43443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三、商务及交付要求</w:t>
      </w:r>
    </w:p>
    <w:p w14:paraId="628CE457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1.报价为一次性完整含税总价。应明确各分项内容、产品或授权范围、实施及维护责任，不得遗漏完成约定采购范围所需费用。</w:t>
      </w:r>
    </w:p>
    <w:p w14:paraId="4EAD2017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2.硬件维保及规则库更新服务均为1年，服务起止及授权开通时间在合同中明确，做好既有服务衔接。服务地点为学校指定地点。</w:t>
      </w:r>
    </w:p>
    <w:p w14:paraId="2A0579B7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3.付款方式按学校采购管理要求在合同中约定，供应商在付款前提供符合要求的正规发票。</w:t>
      </w:r>
    </w:p>
    <w:p w14:paraId="22037162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四、售后服务及验收</w:t>
      </w:r>
    </w:p>
    <w:p w14:paraId="02C51F95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报价应涵盖1年规则更新、硬件维保、7×24小时技术支持、故障处置和备件更换等约定服务及税费。供应商应说明原厂服务保障、备件更换流程及不包含的事项。</w:t>
      </w:r>
    </w:p>
    <w:p w14:paraId="0C05B443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按约定功能或服务逐项核验，提交对应授权、配置、联调或服务记录。对未达到约定要求的问题完成整改后，配合采购人验收。</w:t>
      </w:r>
    </w:p>
    <w:p w14:paraId="00A97AF3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五、其他要求</w:t>
      </w:r>
    </w:p>
    <w:p w14:paraId="4FC53A77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供应商应确保所供产品、授权及服务合法有效，对实施及服务质量负责。严格保护学校非公开信息，数据访问和系统操作须经授权，不擅自向第三方提供相关资料。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23A4BFB"/>
    <w:rsid w:val="034033E2"/>
    <w:rsid w:val="05134BF2"/>
    <w:rsid w:val="072916E2"/>
    <w:rsid w:val="0AEB73DB"/>
    <w:rsid w:val="0D091D9A"/>
    <w:rsid w:val="13BC1A2D"/>
    <w:rsid w:val="19B36621"/>
    <w:rsid w:val="1E146BA1"/>
    <w:rsid w:val="204A02A8"/>
    <w:rsid w:val="22AA3280"/>
    <w:rsid w:val="26AD333E"/>
    <w:rsid w:val="2B100899"/>
    <w:rsid w:val="2B1C4F36"/>
    <w:rsid w:val="32D61E6F"/>
    <w:rsid w:val="33BE2200"/>
    <w:rsid w:val="34876C2C"/>
    <w:rsid w:val="369754C7"/>
    <w:rsid w:val="37D57725"/>
    <w:rsid w:val="393A23BF"/>
    <w:rsid w:val="39A4259E"/>
    <w:rsid w:val="39E979AB"/>
    <w:rsid w:val="3BB82A02"/>
    <w:rsid w:val="3CE82ECA"/>
    <w:rsid w:val="3F2E6B0E"/>
    <w:rsid w:val="429B0BAB"/>
    <w:rsid w:val="46B02CAB"/>
    <w:rsid w:val="4944272D"/>
    <w:rsid w:val="4C495EC4"/>
    <w:rsid w:val="4D0F7FFF"/>
    <w:rsid w:val="4FFF2FD6"/>
    <w:rsid w:val="578F7DE4"/>
    <w:rsid w:val="5C442521"/>
    <w:rsid w:val="6138591F"/>
    <w:rsid w:val="624C3E61"/>
    <w:rsid w:val="6AD45380"/>
    <w:rsid w:val="70BC582D"/>
    <w:rsid w:val="74464FA3"/>
    <w:rsid w:val="746E764B"/>
    <w:rsid w:val="7AD572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  <w:rPr>
      <w:sz w:val="28"/>
    </w:rPr>
  </w:style>
  <w:style w:type="paragraph" w:styleId="5">
    <w:name w:val="Plain Text"/>
    <w:basedOn w:val="1"/>
    <w:next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paragraph" w:styleId="7">
    <w:name w:val="Title"/>
    <w:basedOn w:val="1"/>
    <w:qFormat/>
    <w:uiPriority w:val="0"/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qFormat/>
    <w:uiPriority w:val="0"/>
    <w:rPr>
      <w:rFonts w:ascii="Times New Roman" w:hAnsi="Times New Roman" w:eastAsia="宋体" w:cs="Times New Roman"/>
      <w:i/>
      <w:iCs/>
    </w:rPr>
  </w:style>
  <w:style w:type="character" w:customStyle="1" w:styleId="12">
    <w:name w:val="默认段落字体1"/>
    <w:link w:val="1"/>
    <w:semiHidden/>
    <w:qFormat/>
    <w:uiPriority w:val="0"/>
  </w:style>
  <w:style w:type="table" w:customStyle="1" w:styleId="13">
    <w:name w:val="普通表格1"/>
    <w:semiHidden/>
    <w:qFormat/>
    <w:uiPriority w:val="0"/>
  </w:style>
  <w:style w:type="paragraph" w:customStyle="1" w:styleId="14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15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6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7">
    <w:name w:val="网格型1"/>
    <w:basedOn w:val="13"/>
    <w:qFormat/>
    <w:uiPriority w:val="0"/>
    <w:pPr>
      <w:widowControl w:val="0"/>
      <w:jc w:val="both"/>
    </w:p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b/>
      <w:bCs/>
      <w:color w:val="0F1115"/>
      <w:sz w:val="24"/>
      <w:szCs w:val="24"/>
      <w:u w:val="none"/>
    </w:rPr>
  </w:style>
  <w:style w:type="character" w:customStyle="1" w:styleId="19">
    <w:name w:val="font21"/>
    <w:basedOn w:val="9"/>
    <w:qFormat/>
    <w:uiPriority w:val="0"/>
    <w:rPr>
      <w:rFonts w:hint="eastAsia" w:ascii="宋体" w:hAnsi="宋体" w:eastAsia="宋体" w:cs="宋体"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1601</Words>
  <Characters>1780</Characters>
  <Lines>0</Lines>
  <Paragraphs>0</Paragraphs>
  <TotalTime>0</TotalTime>
  <ScaleCrop>false</ScaleCrop>
  <LinksUpToDate>false</LinksUpToDate>
  <CharactersWithSpaces>1786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2026-10-27T05:39:04Z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78DC0FA4B1C54967B987C024A98A4EE2_13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